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800" w:before="0" w:line="276" w:lineRule="auto"/>
      </w:pPr>
    </w:p>
    <w:p>
      <w:pPr>
        <w:spacing w:after="280" w:before="0" w:line="276" w:lineRule="auto"/>
      </w:pPr>
      <w:r>
        <w:rPr>
          <w:rFonts w:ascii="Calibri" w:hAnsi="Calibri" w:eastAsia="Calibri" w:cs="Arial"/>
          <w:b w:val="0"/>
          <w:i w:val="0"/>
          <w:color w:val="4A5772"/>
          <w:sz w:val="20"/>
        </w:rPr>
        <w:t>Example</w:t>
      </w:r>
    </w:p>
    <w:p>
      <w:pPr>
        <w:spacing w:after="160" w:before="0" w:line="276" w:lineRule="auto"/>
      </w:pPr>
      <w:r>
        <w:rPr>
          <w:rFonts w:ascii="Calibri" w:hAnsi="Calibri" w:eastAsia="Calibri" w:cs="Arial"/>
          <w:b w:val="0"/>
          <w:i w:val="0"/>
          <w:color w:val="4A5772"/>
          <w:sz w:val="24"/>
        </w:rPr>
        <w:t>Business plan 2027–2029</w:t>
      </w:r>
    </w:p>
    <w:p>
      <w:pPr>
        <w:spacing w:after="280" w:before="0" w:line="276" w:lineRule="auto"/>
      </w:pPr>
      <w:r>
        <w:rPr>
          <w:rFonts w:ascii="Georgia" w:hAnsi="Georgia" w:eastAsia="Georgia" w:cs="Arial"/>
          <w:b w:val="0"/>
          <w:i w:val="0"/>
          <w:color w:val="15233B"/>
          <w:sz w:val="88"/>
        </w:rPr>
        <w:t>Studio Lumen</w:t>
      </w:r>
    </w:p>
    <w:p>
      <w:pPr>
        <w:spacing w:after="120" w:before="0" w:line="276" w:lineRule="auto"/>
      </w:pPr>
      <w:r>
        <w:rPr>
          <w:rFonts w:ascii="Calibri" w:hAnsi="Calibri" w:eastAsia="Calibri" w:cs="Arial"/>
          <w:b w:val="0"/>
          <w:i w:val="0"/>
          <w:color w:val="4A5772"/>
          <w:sz w:val="24"/>
        </w:rPr>
        <w:t>36-month financial forecast, January 2027 to December 2029.</w:t>
      </w:r>
    </w:p>
    <w:p>
      <w:pPr>
        <w:spacing w:after="120" w:before="0" w:line="276" w:lineRule="auto"/>
      </w:pPr>
      <w:r>
        <w:rPr>
          <w:rFonts w:ascii="Calibri" w:hAnsi="Calibri" w:eastAsia="Calibri" w:cs="Arial"/>
          <w:b w:val="0"/>
          <w:i w:val="0"/>
          <w:color w:val="4A5772"/>
          <w:sz w:val="24"/>
        </w:rPr>
        <w:t xml:space="preserve">Prepared for </w:t>
      </w:r>
      <w:r>
        <w:rPr>
          <w:rFonts w:ascii="Calibri" w:hAnsi="Calibri" w:eastAsia="Calibri" w:cs="Arial"/>
          <w:b/>
          <w:i w:val="0"/>
          <w:color w:val="15233B"/>
          <w:sz w:val="24"/>
        </w:rPr>
        <w:t>Jamie Carter</w:t>
      </w:r>
    </w:p>
    <w:p>
      <w:pPr>
        <w:spacing w:after="2400" w:before="0" w:line="276" w:lineRule="auto"/>
      </w:pPr>
    </w:p>
    <w:p>
      <w:pPr>
        <w:spacing w:after="40" w:before="0" w:line="276" w:lineRule="auto"/>
      </w:pPr>
      <w:r>
        <w:rPr>
          <w:rFonts w:ascii="Calibri" w:hAnsi="Calibri" w:eastAsia="Calibri" w:cs="Arial"/>
          <w:b/>
          <w:i w:val="0"/>
          <w:color w:val="15233B"/>
          <w:sz w:val="19"/>
        </w:rPr>
        <w:t>Issued 17 October 2026</w:t>
      </w:r>
    </w:p>
    <w:p>
      <w:pPr>
        <w:spacing w:after="120" w:before="0" w:line="276" w:lineRule="auto"/>
      </w:pPr>
      <w:r>
        <w:rPr>
          <w:rFonts w:ascii="Calibri" w:hAnsi="Calibri" w:eastAsia="Calibri" w:cs="Arial"/>
          <w:b w:val="0"/>
          <w:i w:val="0"/>
          <w:color w:val="4A5772"/>
          <w:sz w:val="18"/>
        </w:rPr>
        <w:t>Amounts in GBP, excluding tax. Figures built from the founder's own assumptions.</w:t>
      </w:r>
    </w:p>
    <w:p>
      <w:r>
        <w:br w:type="page"/>
      </w:r>
    </w:p>
    <w:p>
      <w:pPr>
        <w:pStyle w:val="Heading1"/>
        <w:keepNext/>
        <w:spacing w:before="0" w:after="120"/>
      </w:pPr>
      <w:r>
        <w:rPr>
          <w:rFonts w:ascii="Georgia" w:hAnsi="Georgia" w:eastAsia="Georgia" w:cs="Arial"/>
          <w:b w:val="0"/>
          <w:i w:val="0"/>
          <w:color w:val="15233B"/>
          <w:sz w:val="44"/>
        </w:rPr>
        <w:t>Summary</w:t>
      </w:r>
    </w:p>
    <w:p>
      <w:pPr>
        <w:spacing w:after="240" w:before="0" w:line="276" w:lineRule="auto"/>
      </w:pPr>
      <w:r>
        <w:rPr>
          <w:rFonts w:ascii="Calibri" w:hAnsi="Calibri" w:eastAsia="Calibri" w:cs="Arial"/>
          <w:b w:val="0"/>
          <w:i w:val="0"/>
          <w:color w:val="4A5772"/>
          <w:sz w:val="21"/>
        </w:rPr>
        <w:t>Five key figures. Each one is detailed in the following chapters.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2835"/>
            <w:tcBorders>
              <w:top w:val="single" w:sz="8" w:color="15233B"/>
              <w:left w:val="nil"/>
              <w:bottom w:val="single" w:sz="4" w:color="E3E7EE"/>
              <w:right w:val="nil"/>
            </w:tcBorders>
          </w:tcPr>
          <w:p>
            <w:pPr>
              <w:spacing w:after="40"/>
            </w:pPr>
            <w:r>
              <w:rPr>
                <w:rFonts w:ascii="Calibri" w:hAnsi="Calibri" w:eastAsia="Calibri" w:cs="Arial"/>
                <w:b w:val="0"/>
                <w:i w:val="0"/>
                <w:color w:val="4A5772"/>
                <w:sz w:val="18"/>
              </w:rPr>
              <w:t>Revenue, year 3</w:t>
            </w:r>
          </w:p>
          <w:p>
            <w:pPr>
              <w:spacing w:after="120"/>
            </w:pPr>
            <w:r>
              <w:rPr>
                <w:rFonts w:ascii="Calibri" w:hAnsi="Calibri" w:eastAsia="Calibri" w:cs="Arial"/>
                <w:b w:val="0"/>
                <w:i w:val="0"/>
                <w:color w:val="15233B"/>
                <w:sz w:val="44"/>
              </w:rPr>
              <w:t>£450k</w:t>
            </w:r>
          </w:p>
        </w:tc>
        <w:tc>
          <w:tcPr>
            <w:tcW w:type="dxa" w:w="6236"/>
            <w:tcBorders>
              <w:top w:val="single" w:sz="8" w:color="15233B"/>
              <w:left w:val="nil"/>
              <w:bottom w:val="single" w:sz="4" w:color="E3E7EE"/>
              <w:right w:val="nil"/>
            </w:tcBorders>
          </w:tcPr>
          <w:p>
            <w:pPr>
              <w:spacing w:before="200" w:after="40"/>
            </w:pPr>
            <w:r>
              <w:rPr>
                <w:rFonts w:ascii="Calibri" w:hAnsi="Calibri" w:eastAsia="Calibri" w:cs="Arial"/>
                <w:b w:val="0"/>
                <w:i w:val="0"/>
                <w:color w:val="15233B"/>
                <w:sz w:val="21"/>
              </w:rPr>
              <w:t>Sales grow from £270k in year 1 to £450k in year 3, up 66%.</w:t>
            </w:r>
          </w:p>
          <w:p>
            <w:r>
              <w:rPr>
                <w:rFonts w:ascii="Calibri" w:hAnsi="Calibri" w:eastAsia="Calibri" w:cs="Arial"/>
                <w:b w:val="0"/>
                <w:i w:val="0"/>
                <w:color w:val="7D879B"/>
                <w:sz w:val="18"/>
              </w:rPr>
              <w:t>Year 2: £379k.</w:t>
            </w:r>
          </w:p>
        </w:tc>
      </w:tr>
      <w:tr>
        <w:tc>
          <w:tcPr>
            <w:tcW w:type="dxa" w:w="2835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/>
            </w:pPr>
            <w:r>
              <w:rPr>
                <w:rFonts w:ascii="Calibri" w:hAnsi="Calibri" w:eastAsia="Calibri" w:cs="Arial"/>
                <w:b w:val="0"/>
                <w:i w:val="0"/>
                <w:color w:val="4A5772"/>
                <w:sz w:val="18"/>
              </w:rPr>
              <w:t>Net profit, year 3</w:t>
            </w:r>
          </w:p>
          <w:p>
            <w:pPr>
              <w:spacing w:after="120"/>
            </w:pPr>
            <w:r>
              <w:rPr>
                <w:rFonts w:ascii="Calibri" w:hAnsi="Calibri" w:eastAsia="Calibri" w:cs="Arial"/>
                <w:b w:val="0"/>
                <w:i w:val="0"/>
                <w:color w:val="15233B"/>
                <w:sz w:val="44"/>
              </w:rPr>
              <w:t>£80k</w:t>
            </w:r>
          </w:p>
        </w:tc>
        <w:tc>
          <w:tcPr>
            <w:tcW w:type="dxa" w:w="6236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before="200" w:after="40"/>
            </w:pPr>
            <w:r>
              <w:rPr>
                <w:rFonts w:ascii="Calibri" w:hAnsi="Calibri" w:eastAsia="Calibri" w:cs="Arial"/>
                <w:b w:val="0"/>
                <w:i w:val="0"/>
                <w:color w:val="15233B"/>
                <w:sz w:val="21"/>
              </w:rPr>
              <w:t>After a first year at −£9.9k, the business turns profitable in year 2.</w:t>
            </w:r>
          </w:p>
          <w:p>
            <w:r>
              <w:rPr>
                <w:rFonts w:ascii="Calibri" w:hAnsi="Calibri" w:eastAsia="Calibri" w:cs="Arial"/>
                <w:b w:val="0"/>
                <w:i w:val="0"/>
                <w:color w:val="7D879B"/>
                <w:sz w:val="18"/>
              </w:rPr>
              <w:t>Cumulative net profit over 3 years: £117k.</w:t>
            </w:r>
          </w:p>
        </w:tc>
      </w:tr>
      <w:tr>
        <w:tc>
          <w:tcPr>
            <w:tcW w:type="dxa" w:w="2835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/>
            </w:pPr>
            <w:r>
              <w:rPr>
                <w:rFonts w:ascii="Calibri" w:hAnsi="Calibri" w:eastAsia="Calibri" w:cs="Arial"/>
                <w:b w:val="0"/>
                <w:i w:val="0"/>
                <w:color w:val="4A5772"/>
                <w:sz w:val="18"/>
              </w:rPr>
              <w:t>Break-even</w:t>
            </w:r>
          </w:p>
          <w:p>
            <w:pPr>
              <w:spacing w:after="120"/>
            </w:pPr>
            <w:r>
              <w:rPr>
                <w:rFonts w:ascii="Calibri" w:hAnsi="Calibri" w:eastAsia="Calibri" w:cs="Arial"/>
                <w:b w:val="0"/>
                <w:i w:val="0"/>
                <w:color w:val="15233B"/>
                <w:sz w:val="44"/>
              </w:rPr>
              <w:t>Month 9</w:t>
            </w:r>
          </w:p>
        </w:tc>
        <w:tc>
          <w:tcPr>
            <w:tcW w:type="dxa" w:w="6236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before="200" w:after="40"/>
            </w:pPr>
            <w:r>
              <w:rPr>
                <w:rFonts w:ascii="Calibri" w:hAnsi="Calibri" w:eastAsia="Calibri" w:cs="Arial"/>
                <w:b w:val="0"/>
                <w:i w:val="0"/>
                <w:color w:val="15233B"/>
                <w:sz w:val="21"/>
              </w:rPr>
              <w:t>Monthly revenue passes the break-even point in September 2027.</w:t>
            </w:r>
          </w:p>
          <w:p>
            <w:r>
              <w:rPr>
                <w:rFonts w:ascii="Calibri" w:hAnsi="Calibri" w:eastAsia="Calibri" w:cs="Arial"/>
                <w:b w:val="0"/>
                <w:i w:val="0"/>
                <w:color w:val="7D879B"/>
                <w:sz w:val="18"/>
              </w:rPr>
              <w:t>Break-even in year 3: £24k of sales per month. EBITDA is positive from month 7.</w:t>
            </w:r>
          </w:p>
        </w:tc>
      </w:tr>
      <w:tr>
        <w:tc>
          <w:tcPr>
            <w:tcW w:type="dxa" w:w="2835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/>
            </w:pPr>
            <w:r>
              <w:rPr>
                <w:rFonts w:ascii="Calibri" w:hAnsi="Calibri" w:eastAsia="Calibri" w:cs="Arial"/>
                <w:b w:val="0"/>
                <w:i w:val="0"/>
                <w:color w:val="4A5772"/>
                <w:sz w:val="18"/>
              </w:rPr>
              <w:t>Lowest cash balance</w:t>
            </w:r>
          </w:p>
          <w:p>
            <w:pPr>
              <w:spacing w:after="120"/>
            </w:pPr>
            <w:r>
              <w:rPr>
                <w:rFonts w:ascii="Calibri" w:hAnsi="Calibri" w:eastAsia="Calibri" w:cs="Arial"/>
                <w:b w:val="0"/>
                <w:i w:val="0"/>
                <w:color w:val="15233B"/>
                <w:sz w:val="44"/>
              </w:rPr>
              <w:t>£39k</w:t>
            </w:r>
          </w:p>
        </w:tc>
        <w:tc>
          <w:tcPr>
            <w:tcW w:type="dxa" w:w="6236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before="200" w:after="40"/>
            </w:pPr>
            <w:r>
              <w:rPr>
                <w:rFonts w:ascii="Calibri" w:hAnsi="Calibri" w:eastAsia="Calibri" w:cs="Arial"/>
                <w:b w:val="0"/>
                <w:i w:val="0"/>
                <w:color w:val="15233B"/>
                <w:sz w:val="21"/>
              </w:rPr>
              <w:t>Cash never falls below zero; its lowest point comes in September 2027.</w:t>
            </w:r>
          </w:p>
          <w:p>
            <w:r>
              <w:rPr>
                <w:rFonts w:ascii="Calibri" w:hAnsi="Calibri" w:eastAsia="Calibri" w:cs="Arial"/>
                <w:b w:val="0"/>
                <w:i w:val="0"/>
                <w:color w:val="7D879B"/>
                <w:sz w:val="18"/>
              </w:rPr>
              <w:t>It ends the period at £152k.</w:t>
            </w:r>
          </w:p>
        </w:tc>
      </w:tr>
      <w:tr>
        <w:tc>
          <w:tcPr>
            <w:tcW w:type="dxa" w:w="2835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/>
            </w:pPr>
            <w:r>
              <w:rPr>
                <w:rFonts w:ascii="Calibri" w:hAnsi="Calibri" w:eastAsia="Calibri" w:cs="Arial"/>
                <w:b w:val="0"/>
                <w:i w:val="0"/>
                <w:color w:val="4A5772"/>
                <w:sz w:val="18"/>
              </w:rPr>
              <w:t>Funding resources</w:t>
            </w:r>
          </w:p>
          <w:p>
            <w:pPr>
              <w:spacing w:after="120"/>
            </w:pPr>
            <w:r>
              <w:rPr>
                <w:rFonts w:ascii="Calibri" w:hAnsi="Calibri" w:eastAsia="Calibri" w:cs="Arial"/>
                <w:b w:val="0"/>
                <w:i w:val="0"/>
                <w:color w:val="15233B"/>
                <w:sz w:val="44"/>
              </w:rPr>
              <w:t>£110k</w:t>
            </w:r>
          </w:p>
        </w:tc>
        <w:tc>
          <w:tcPr>
            <w:tcW w:type="dxa" w:w="6236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before="200" w:after="40"/>
            </w:pPr>
            <w:r>
              <w:rPr>
                <w:rFonts w:ascii="Calibri" w:hAnsi="Calibri" w:eastAsia="Calibri" w:cs="Arial"/>
                <w:b w:val="0"/>
                <w:i w:val="0"/>
                <w:color w:val="15233B"/>
                <w:sz w:val="21"/>
              </w:rPr>
              <w:t>Equity and loan cover 1.8 times the need of £62k.</w:t>
            </w:r>
          </w:p>
          <w:p>
            <w:r>
              <w:rPr>
                <w:rFonts w:ascii="Calibri" w:hAnsi="Calibri" w:eastAsia="Calibri" w:cs="Arial"/>
                <w:b w:val="0"/>
                <w:i w:val="0"/>
                <w:color w:val="7D879B"/>
                <w:sz w:val="18"/>
              </w:rPr>
              <w:t>Safety margin: £48k.</w:t>
            </w:r>
          </w:p>
        </w:tc>
      </w:tr>
    </w:tbl>
    <w:p>
      <w:pPr>
        <w:spacing w:after="160" w:before="0" w:line="276" w:lineRule="auto"/>
      </w:pPr>
    </w:p>
    <w:p>
      <w:pPr>
        <w:pStyle w:val="Heading2"/>
        <w:keepNext/>
        <w:spacing w:before="240" w:after="120"/>
      </w:pPr>
      <w:r>
        <w:rPr>
          <w:rFonts w:ascii="Calibri" w:hAnsi="Calibri" w:eastAsia="Calibri" w:cs="Arial"/>
          <w:b/>
          <w:i w:val="0"/>
          <w:color w:val="15233B"/>
          <w:sz w:val="25"/>
        </w:rPr>
        <w:t>In short</w:t>
      </w:r>
    </w:p>
    <w:p>
      <w:pPr>
        <w:spacing w:after="120" w:before="0" w:line="276" w:lineRule="auto"/>
      </w:pPr>
      <w:r>
        <w:rPr>
          <w:rFonts w:ascii="Georgia" w:hAnsi="Georgia" w:eastAsia="Georgia" w:cs="Arial"/>
          <w:b w:val="0"/>
          <w:i w:val="0"/>
          <w:color w:val="15233B"/>
          <w:sz w:val="24"/>
        </w:rPr>
        <w:t>With these assumptions, the business breaks even within the first year, stays funded throughout and generates £80k of net profit in year 3. Sensitivity to the average price is detailed on page 7.</w:t>
      </w:r>
    </w:p>
    <w:p>
      <w:r>
        <w:br w:type="page"/>
      </w:r>
    </w:p>
    <w:p>
      <w:pPr>
        <w:pStyle w:val="Heading1"/>
        <w:keepNext/>
        <w:spacing w:before="0" w:after="120"/>
      </w:pPr>
      <w:r>
        <w:rPr>
          <w:rFonts w:ascii="Georgia" w:hAnsi="Georgia" w:eastAsia="Georgia" w:cs="Arial"/>
          <w:b w:val="0"/>
          <w:i w:val="0"/>
          <w:color w:val="15233B"/>
          <w:sz w:val="44"/>
        </w:rPr>
        <w:t>Assumptions</w:t>
      </w:r>
    </w:p>
    <w:p>
      <w:pPr>
        <w:spacing w:after="240" w:before="0" w:line="276" w:lineRule="auto"/>
      </w:pPr>
      <w:r>
        <w:rPr>
          <w:rFonts w:ascii="Calibri" w:hAnsi="Calibri" w:eastAsia="Calibri" w:cs="Arial"/>
          <w:b w:val="0"/>
          <w:i w:val="0"/>
          <w:color w:val="4A5772"/>
          <w:sz w:val="21"/>
        </w:rPr>
        <w:t>Every figure in this plan follows from the 23 assumptions below.</w:t>
      </w:r>
    </w:p>
    <w:p>
      <w:pPr>
        <w:pStyle w:val="Heading2"/>
        <w:keepNext/>
        <w:spacing w:before="240" w:after="120"/>
      </w:pPr>
      <w:r>
        <w:rPr>
          <w:rFonts w:ascii="Calibri" w:hAnsi="Calibri" w:eastAsia="Calibri" w:cs="Arial"/>
          <w:b/>
          <w:i w:val="0"/>
          <w:color w:val="15233B"/>
          <w:sz w:val="25"/>
        </w:rPr>
        <w:t>Project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c>
          <w:tcPr>
            <w:tcW w:type="dxa" w:w="5102"/>
            <w:tcBorders>
              <w:top w:val="single" w:sz="8" w:color="15233B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</w:pPr>
            <w:r>
              <w:rPr>
                <w:rFonts w:ascii="Calibri" w:hAnsi="Calibri" w:eastAsia="Calibri" w:cs="Arial"/>
                <w:b w:val="0"/>
                <w:i w:val="0"/>
                <w:color w:val="15233B"/>
                <w:sz w:val="19"/>
              </w:rPr>
              <w:t>Project name</w:t>
            </w:r>
          </w:p>
        </w:tc>
        <w:tc>
          <w:tcPr>
            <w:tcW w:type="dxa" w:w="2041"/>
            <w:tcBorders>
              <w:top w:val="single" w:sz="8" w:color="15233B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/>
                <w:i w:val="0"/>
                <w:color w:val="15233B"/>
                <w:sz w:val="19"/>
              </w:rPr>
              <w:t>Studio Lumen</w:t>
            </w:r>
          </w:p>
        </w:tc>
        <w:tc>
          <w:tcPr>
            <w:tcW w:type="dxa" w:w="1928"/>
            <w:tcBorders>
              <w:top w:val="single" w:sz="8" w:color="15233B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</w:pPr>
            <w:r>
              <w:rPr>
                <w:rFonts w:ascii="Calibri" w:hAnsi="Calibri" w:eastAsia="Calibri" w:cs="Arial"/>
                <w:b w:val="0"/>
                <w:i w:val="0"/>
                <w:color w:val="7D879B"/>
                <w:sz w:val="17"/>
              </w:rPr>
            </w:r>
          </w:p>
        </w:tc>
      </w:tr>
      <w:tr>
        <w:tc>
          <w:tcPr>
            <w:tcW w:type="dxa" w:w="5102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</w:pPr>
            <w:r>
              <w:rPr>
                <w:rFonts w:ascii="Calibri" w:hAnsi="Calibri" w:eastAsia="Calibri" w:cs="Arial"/>
                <w:b w:val="0"/>
                <w:i w:val="0"/>
                <w:color w:val="15233B"/>
                <w:sz w:val="19"/>
              </w:rPr>
              <w:t>Display currency</w:t>
            </w:r>
          </w:p>
        </w:tc>
        <w:tc>
          <w:tcPr>
            <w:tcW w:type="dxa" w:w="2041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/>
                <w:i w:val="0"/>
                <w:color w:val="15233B"/>
                <w:sz w:val="19"/>
              </w:rPr>
              <w:t>GBP</w:t>
            </w:r>
          </w:p>
        </w:tc>
        <w:tc>
          <w:tcPr>
            <w:tcW w:type="dxa" w:w="1928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</w:pPr>
            <w:r>
              <w:rPr>
                <w:rFonts w:ascii="Calibri" w:hAnsi="Calibri" w:eastAsia="Calibri" w:cs="Arial"/>
                <w:b w:val="0"/>
                <w:i w:val="0"/>
                <w:color w:val="7D879B"/>
                <w:sz w:val="17"/>
              </w:rPr>
            </w:r>
          </w:p>
        </w:tc>
      </w:tr>
      <w:tr>
        <w:tc>
          <w:tcPr>
            <w:tcW w:type="dxa" w:w="5102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</w:pPr>
            <w:r>
              <w:rPr>
                <w:rFonts w:ascii="Calibri" w:hAnsi="Calibri" w:eastAsia="Calibri" w:cs="Arial"/>
                <w:b w:val="0"/>
                <w:i w:val="0"/>
                <w:color w:val="15233B"/>
                <w:sz w:val="19"/>
              </w:rPr>
              <w:t>Start date</w:t>
            </w:r>
            <w:r>
              <w:rPr>
                <w:rFonts w:ascii="Calibri" w:hAnsi="Calibri" w:eastAsia="Calibri" w:cs="Arial"/>
                <w:b w:val="0"/>
                <w:i w:val="0"/>
                <w:color w:val="7D879B"/>
                <w:sz w:val="16"/>
              </w:rPr>
              <w:br/>
              <w:t>First month of the model.</w:t>
            </w:r>
          </w:p>
        </w:tc>
        <w:tc>
          <w:tcPr>
            <w:tcW w:type="dxa" w:w="2041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/>
                <w:i w:val="0"/>
                <w:color w:val="15233B"/>
                <w:sz w:val="19"/>
              </w:rPr>
              <w:t>January 2027</w:t>
            </w:r>
          </w:p>
        </w:tc>
        <w:tc>
          <w:tcPr>
            <w:tcW w:type="dxa" w:w="1928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</w:pPr>
            <w:r>
              <w:rPr>
                <w:rFonts w:ascii="Calibri" w:hAnsi="Calibri" w:eastAsia="Calibri" w:cs="Arial"/>
                <w:b w:val="0"/>
                <w:i w:val="0"/>
                <w:color w:val="7D879B"/>
                <w:sz w:val="17"/>
              </w:rPr>
            </w:r>
          </w:p>
        </w:tc>
      </w:tr>
    </w:tbl>
    <w:p>
      <w:pPr>
        <w:spacing w:after="80" w:before="0" w:line="276" w:lineRule="auto"/>
      </w:pPr>
    </w:p>
    <w:p>
      <w:pPr>
        <w:pStyle w:val="Heading2"/>
        <w:keepNext/>
        <w:spacing w:before="240" w:after="120"/>
      </w:pPr>
      <w:r>
        <w:rPr>
          <w:rFonts w:ascii="Calibri" w:hAnsi="Calibri" w:eastAsia="Calibri" w:cs="Arial"/>
          <w:b/>
          <w:i w:val="0"/>
          <w:color w:val="15233B"/>
          <w:sz w:val="25"/>
        </w:rPr>
        <w:t>Sales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c>
          <w:tcPr>
            <w:tcW w:type="dxa" w:w="5102"/>
            <w:tcBorders>
              <w:top w:val="single" w:sz="8" w:color="15233B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</w:pPr>
            <w:r>
              <w:rPr>
                <w:rFonts w:ascii="Calibri" w:hAnsi="Calibri" w:eastAsia="Calibri" w:cs="Arial"/>
                <w:b w:val="0"/>
                <w:i w:val="0"/>
                <w:color w:val="15233B"/>
                <w:sz w:val="19"/>
              </w:rPr>
              <w:t>Average price per sale (excl. tax)</w:t>
            </w:r>
            <w:r>
              <w:rPr>
                <w:rFonts w:ascii="Calibri" w:hAnsi="Calibri" w:eastAsia="Calibri" w:cs="Arial"/>
                <w:b w:val="0"/>
                <w:i w:val="0"/>
                <w:color w:val="7D879B"/>
                <w:sz w:val="16"/>
              </w:rPr>
              <w:br/>
              <w:t>Average basket or average unit price.</w:t>
            </w:r>
          </w:p>
        </w:tc>
        <w:tc>
          <w:tcPr>
            <w:tcW w:type="dxa" w:w="2041"/>
            <w:tcBorders>
              <w:top w:val="single" w:sz="8" w:color="15233B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/>
                <w:i w:val="0"/>
                <w:color w:val="15233B"/>
                <w:sz w:val="19"/>
              </w:rPr>
              <w:t>£180</w:t>
            </w:r>
          </w:p>
        </w:tc>
        <w:tc>
          <w:tcPr>
            <w:tcW w:type="dxa" w:w="1928"/>
            <w:tcBorders>
              <w:top w:val="single" w:sz="8" w:color="15233B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</w:pPr>
            <w:r>
              <w:rPr>
                <w:rFonts w:ascii="Calibri" w:hAnsi="Calibri" w:eastAsia="Calibri" w:cs="Arial"/>
                <w:b w:val="0"/>
                <w:i w:val="0"/>
                <w:color w:val="7D879B"/>
                <w:sz w:val="17"/>
              </w:rPr>
              <w:t>per sale</w:t>
            </w:r>
          </w:p>
        </w:tc>
      </w:tr>
      <w:tr>
        <w:tc>
          <w:tcPr>
            <w:tcW w:type="dxa" w:w="5102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</w:pPr>
            <w:r>
              <w:rPr>
                <w:rFonts w:ascii="Calibri" w:hAnsi="Calibri" w:eastAsia="Calibri" w:cs="Arial"/>
                <w:b w:val="0"/>
                <w:i w:val="0"/>
                <w:color w:val="15233B"/>
                <w:sz w:val="19"/>
              </w:rPr>
              <w:t>Sales in the first month</w:t>
            </w:r>
            <w:r>
              <w:rPr>
                <w:rFonts w:ascii="Calibri" w:hAnsi="Calibri" w:eastAsia="Calibri" w:cs="Arial"/>
                <w:b w:val="0"/>
                <w:i w:val="0"/>
                <w:color w:val="7D879B"/>
                <w:sz w:val="16"/>
              </w:rPr>
              <w:br/>
              <w:t>Expected volume in the launch month.</w:t>
            </w:r>
          </w:p>
        </w:tc>
        <w:tc>
          <w:tcPr>
            <w:tcW w:type="dxa" w:w="2041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/>
                <w:i w:val="0"/>
                <w:color w:val="15233B"/>
                <w:sz w:val="19"/>
              </w:rPr>
              <w:t>100</w:t>
            </w:r>
          </w:p>
        </w:tc>
        <w:tc>
          <w:tcPr>
            <w:tcW w:type="dxa" w:w="1928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</w:pPr>
            <w:r>
              <w:rPr>
                <w:rFonts w:ascii="Calibri" w:hAnsi="Calibri" w:eastAsia="Calibri" w:cs="Arial"/>
                <w:b w:val="0"/>
                <w:i w:val="0"/>
                <w:color w:val="7D879B"/>
                <w:sz w:val="17"/>
              </w:rPr>
              <w:t>sales</w:t>
            </w:r>
          </w:p>
        </w:tc>
      </w:tr>
      <w:tr>
        <w:tc>
          <w:tcPr>
            <w:tcW w:type="dxa" w:w="5102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</w:pPr>
            <w:r>
              <w:rPr>
                <w:rFonts w:ascii="Calibri" w:hAnsi="Calibri" w:eastAsia="Calibri" w:cs="Arial"/>
                <w:b w:val="0"/>
                <w:i w:val="0"/>
                <w:color w:val="15233B"/>
                <w:sz w:val="19"/>
              </w:rPr>
              <w:t>Monthly sales growth, year 1</w:t>
            </w:r>
            <w:r>
              <w:rPr>
                <w:rFonts w:ascii="Calibri" w:hAnsi="Calibri" w:eastAsia="Calibri" w:cs="Arial"/>
                <w:b w:val="0"/>
                <w:i w:val="0"/>
                <w:color w:val="7D879B"/>
                <w:sz w:val="16"/>
              </w:rPr>
              <w:br/>
              <w:t>Compound monthly rate.</w:t>
            </w:r>
          </w:p>
        </w:tc>
        <w:tc>
          <w:tcPr>
            <w:tcW w:type="dxa" w:w="2041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/>
                <w:i w:val="0"/>
                <w:color w:val="15233B"/>
                <w:sz w:val="19"/>
              </w:rPr>
              <w:t>4.0%</w:t>
            </w:r>
          </w:p>
        </w:tc>
        <w:tc>
          <w:tcPr>
            <w:tcW w:type="dxa" w:w="1928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</w:pPr>
            <w:r>
              <w:rPr>
                <w:rFonts w:ascii="Calibri" w:hAnsi="Calibri" w:eastAsia="Calibri" w:cs="Arial"/>
                <w:b w:val="0"/>
                <w:i w:val="0"/>
                <w:color w:val="7D879B"/>
                <w:sz w:val="17"/>
              </w:rPr>
              <w:t>per month</w:t>
            </w:r>
          </w:p>
        </w:tc>
      </w:tr>
      <w:tr>
        <w:tc>
          <w:tcPr>
            <w:tcW w:type="dxa" w:w="5102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</w:pPr>
            <w:r>
              <w:rPr>
                <w:rFonts w:ascii="Calibri" w:hAnsi="Calibri" w:eastAsia="Calibri" w:cs="Arial"/>
                <w:b w:val="0"/>
                <w:i w:val="0"/>
                <w:color w:val="15233B"/>
                <w:sz w:val="19"/>
              </w:rPr>
              <w:t>Monthly sales growth, year 2</w:t>
            </w:r>
          </w:p>
        </w:tc>
        <w:tc>
          <w:tcPr>
            <w:tcW w:type="dxa" w:w="2041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/>
                <w:i w:val="0"/>
                <w:color w:val="15233B"/>
                <w:sz w:val="19"/>
              </w:rPr>
              <w:t>2.0%</w:t>
            </w:r>
          </w:p>
        </w:tc>
        <w:tc>
          <w:tcPr>
            <w:tcW w:type="dxa" w:w="1928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</w:pPr>
            <w:r>
              <w:rPr>
                <w:rFonts w:ascii="Calibri" w:hAnsi="Calibri" w:eastAsia="Calibri" w:cs="Arial"/>
                <w:b w:val="0"/>
                <w:i w:val="0"/>
                <w:color w:val="7D879B"/>
                <w:sz w:val="17"/>
              </w:rPr>
              <w:t>per month</w:t>
            </w:r>
          </w:p>
        </w:tc>
      </w:tr>
      <w:tr>
        <w:tc>
          <w:tcPr>
            <w:tcW w:type="dxa" w:w="5102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</w:pPr>
            <w:r>
              <w:rPr>
                <w:rFonts w:ascii="Calibri" w:hAnsi="Calibri" w:eastAsia="Calibri" w:cs="Arial"/>
                <w:b w:val="0"/>
                <w:i w:val="0"/>
                <w:color w:val="15233B"/>
                <w:sz w:val="19"/>
              </w:rPr>
              <w:t>Monthly sales growth, year 3</w:t>
            </w:r>
          </w:p>
        </w:tc>
        <w:tc>
          <w:tcPr>
            <w:tcW w:type="dxa" w:w="2041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/>
                <w:i w:val="0"/>
                <w:color w:val="15233B"/>
                <w:sz w:val="19"/>
              </w:rPr>
              <w:t>1.0%</w:t>
            </w:r>
          </w:p>
        </w:tc>
        <w:tc>
          <w:tcPr>
            <w:tcW w:type="dxa" w:w="1928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</w:pPr>
            <w:r>
              <w:rPr>
                <w:rFonts w:ascii="Calibri" w:hAnsi="Calibri" w:eastAsia="Calibri" w:cs="Arial"/>
                <w:b w:val="0"/>
                <w:i w:val="0"/>
                <w:color w:val="7D879B"/>
                <w:sz w:val="17"/>
              </w:rPr>
              <w:t>per month</w:t>
            </w:r>
          </w:p>
        </w:tc>
      </w:tr>
    </w:tbl>
    <w:p>
      <w:pPr>
        <w:spacing w:after="80" w:before="0" w:line="276" w:lineRule="auto"/>
      </w:pPr>
    </w:p>
    <w:p>
      <w:pPr>
        <w:pStyle w:val="Heading2"/>
        <w:keepNext/>
        <w:spacing w:before="240" w:after="120"/>
      </w:pPr>
      <w:r>
        <w:rPr>
          <w:rFonts w:ascii="Calibri" w:hAnsi="Calibri" w:eastAsia="Calibri" w:cs="Arial"/>
          <w:b/>
          <w:i w:val="0"/>
          <w:color w:val="15233B"/>
          <w:sz w:val="25"/>
        </w:rPr>
        <w:t>Costs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c>
          <w:tcPr>
            <w:tcW w:type="dxa" w:w="5102"/>
            <w:tcBorders>
              <w:top w:val="single" w:sz="8" w:color="15233B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</w:pPr>
            <w:r>
              <w:rPr>
                <w:rFonts w:ascii="Calibri" w:hAnsi="Calibri" w:eastAsia="Calibri" w:cs="Arial"/>
                <w:b w:val="0"/>
                <w:i w:val="0"/>
                <w:color w:val="15233B"/>
                <w:sz w:val="19"/>
              </w:rPr>
              <w:t>Variable costs (materials, subcontracting, commissions)</w:t>
            </w:r>
            <w:r>
              <w:rPr>
                <w:rFonts w:ascii="Calibri" w:hAnsi="Calibri" w:eastAsia="Calibri" w:cs="Arial"/>
                <w:b w:val="0"/>
                <w:i w:val="0"/>
                <w:color w:val="7D879B"/>
                <w:sz w:val="16"/>
              </w:rPr>
              <w:br/>
              <w:t>Proportional to revenue.</w:t>
            </w:r>
          </w:p>
        </w:tc>
        <w:tc>
          <w:tcPr>
            <w:tcW w:type="dxa" w:w="2041"/>
            <w:tcBorders>
              <w:top w:val="single" w:sz="8" w:color="15233B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/>
                <w:i w:val="0"/>
                <w:color w:val="15233B"/>
                <w:sz w:val="19"/>
              </w:rPr>
              <w:t>30.0%</w:t>
            </w:r>
          </w:p>
        </w:tc>
        <w:tc>
          <w:tcPr>
            <w:tcW w:type="dxa" w:w="1928"/>
            <w:tcBorders>
              <w:top w:val="single" w:sz="8" w:color="15233B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</w:pPr>
            <w:r>
              <w:rPr>
                <w:rFonts w:ascii="Calibri" w:hAnsi="Calibri" w:eastAsia="Calibri" w:cs="Arial"/>
                <w:b w:val="0"/>
                <w:i w:val="0"/>
                <w:color w:val="7D879B"/>
                <w:sz w:val="17"/>
              </w:rPr>
              <w:t>of revenue</w:t>
            </w:r>
          </w:p>
        </w:tc>
      </w:tr>
      <w:tr>
        <w:tc>
          <w:tcPr>
            <w:tcW w:type="dxa" w:w="5102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</w:pPr>
            <w:r>
              <w:rPr>
                <w:rFonts w:ascii="Calibri" w:hAnsi="Calibri" w:eastAsia="Calibri" w:cs="Arial"/>
                <w:b w:val="0"/>
                <w:i w:val="0"/>
                <w:color w:val="15233B"/>
                <w:sz w:val="19"/>
              </w:rPr>
              <w:t>Marketing and acquisition</w:t>
            </w:r>
          </w:p>
        </w:tc>
        <w:tc>
          <w:tcPr>
            <w:tcW w:type="dxa" w:w="2041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/>
                <w:i w:val="0"/>
                <w:color w:val="15233B"/>
                <w:sz w:val="19"/>
              </w:rPr>
              <w:t>8.0%</w:t>
            </w:r>
          </w:p>
        </w:tc>
        <w:tc>
          <w:tcPr>
            <w:tcW w:type="dxa" w:w="1928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</w:pPr>
            <w:r>
              <w:rPr>
                <w:rFonts w:ascii="Calibri" w:hAnsi="Calibri" w:eastAsia="Calibri" w:cs="Arial"/>
                <w:b w:val="0"/>
                <w:i w:val="0"/>
                <w:color w:val="7D879B"/>
                <w:sz w:val="17"/>
              </w:rPr>
              <w:t>of revenue</w:t>
            </w:r>
          </w:p>
        </w:tc>
      </w:tr>
      <w:tr>
        <w:tc>
          <w:tcPr>
            <w:tcW w:type="dxa" w:w="5102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</w:pPr>
            <w:r>
              <w:rPr>
                <w:rFonts w:ascii="Calibri" w:hAnsi="Calibri" w:eastAsia="Calibri" w:cs="Arial"/>
                <w:b w:val="0"/>
                <w:i w:val="0"/>
                <w:color w:val="15233B"/>
                <w:sz w:val="19"/>
              </w:rPr>
              <w:t>Monthly fixed costs (rent, software, insurance...)</w:t>
            </w:r>
            <w:r>
              <w:rPr>
                <w:rFonts w:ascii="Calibri" w:hAnsi="Calibri" w:eastAsia="Calibri" w:cs="Arial"/>
                <w:b w:val="0"/>
                <w:i w:val="0"/>
                <w:color w:val="7D879B"/>
                <w:sz w:val="16"/>
              </w:rPr>
              <w:br/>
              <w:t>Excluding salaries.</w:t>
            </w:r>
          </w:p>
        </w:tc>
        <w:tc>
          <w:tcPr>
            <w:tcW w:type="dxa" w:w="2041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/>
                <w:i w:val="0"/>
                <w:color w:val="15233B"/>
                <w:sz w:val="19"/>
              </w:rPr>
              <w:t>£5,000</w:t>
            </w:r>
          </w:p>
        </w:tc>
        <w:tc>
          <w:tcPr>
            <w:tcW w:type="dxa" w:w="1928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</w:pPr>
            <w:r>
              <w:rPr>
                <w:rFonts w:ascii="Calibri" w:hAnsi="Calibri" w:eastAsia="Calibri" w:cs="Arial"/>
                <w:b w:val="0"/>
                <w:i w:val="0"/>
                <w:color w:val="7D879B"/>
                <w:sz w:val="17"/>
              </w:rPr>
              <w:t>per month</w:t>
            </w:r>
          </w:p>
        </w:tc>
      </w:tr>
      <w:tr>
        <w:tc>
          <w:tcPr>
            <w:tcW w:type="dxa" w:w="5102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</w:pPr>
            <w:r>
              <w:rPr>
                <w:rFonts w:ascii="Calibri" w:hAnsi="Calibri" w:eastAsia="Calibri" w:cs="Arial"/>
                <w:b w:val="0"/>
                <w:i w:val="0"/>
                <w:color w:val="15233B"/>
                <w:sz w:val="19"/>
              </w:rPr>
              <w:t>Annual increase in fixed costs</w:t>
            </w:r>
            <w:r>
              <w:rPr>
                <w:rFonts w:ascii="Calibri" w:hAnsi="Calibri" w:eastAsia="Calibri" w:cs="Arial"/>
                <w:b w:val="0"/>
                <w:i w:val="0"/>
                <w:color w:val="7D879B"/>
                <w:sz w:val="16"/>
              </w:rPr>
              <w:br/>
              <w:t>Applied at the start of each new year.</w:t>
            </w:r>
          </w:p>
        </w:tc>
        <w:tc>
          <w:tcPr>
            <w:tcW w:type="dxa" w:w="2041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/>
                <w:i w:val="0"/>
                <w:color w:val="15233B"/>
                <w:sz w:val="19"/>
              </w:rPr>
              <w:t>3.0%</w:t>
            </w:r>
          </w:p>
        </w:tc>
        <w:tc>
          <w:tcPr>
            <w:tcW w:type="dxa" w:w="1928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</w:pPr>
            <w:r>
              <w:rPr>
                <w:rFonts w:ascii="Calibri" w:hAnsi="Calibri" w:eastAsia="Calibri" w:cs="Arial"/>
                <w:b w:val="0"/>
                <w:i w:val="0"/>
                <w:color w:val="7D879B"/>
                <w:sz w:val="17"/>
              </w:rPr>
              <w:t>per year</w:t>
            </w:r>
          </w:p>
        </w:tc>
      </w:tr>
      <w:tr>
        <w:tc>
          <w:tcPr>
            <w:tcW w:type="dxa" w:w="5102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</w:pPr>
            <w:r>
              <w:rPr>
                <w:rFonts w:ascii="Calibri" w:hAnsi="Calibri" w:eastAsia="Calibri" w:cs="Arial"/>
                <w:b w:val="0"/>
                <w:i w:val="0"/>
                <w:color w:val="15233B"/>
                <w:sz w:val="19"/>
              </w:rPr>
              <w:t>Team gross salaries, monthly</w:t>
            </w:r>
            <w:r>
              <w:rPr>
                <w:rFonts w:ascii="Calibri" w:hAnsi="Calibri" w:eastAsia="Calibri" w:cs="Arial"/>
                <w:b w:val="0"/>
                <w:i w:val="0"/>
                <w:color w:val="7D879B"/>
                <w:sz w:val="16"/>
              </w:rPr>
              <w:br/>
              <w:t>Total gross pay, all roles.</w:t>
            </w:r>
          </w:p>
        </w:tc>
        <w:tc>
          <w:tcPr>
            <w:tcW w:type="dxa" w:w="2041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/>
                <w:i w:val="0"/>
                <w:color w:val="15233B"/>
                <w:sz w:val="19"/>
              </w:rPr>
              <w:t>£7,000</w:t>
            </w:r>
          </w:p>
        </w:tc>
        <w:tc>
          <w:tcPr>
            <w:tcW w:type="dxa" w:w="1928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</w:pPr>
            <w:r>
              <w:rPr>
                <w:rFonts w:ascii="Calibri" w:hAnsi="Calibri" w:eastAsia="Calibri" w:cs="Arial"/>
                <w:b w:val="0"/>
                <w:i w:val="0"/>
                <w:color w:val="7D879B"/>
                <w:sz w:val="17"/>
              </w:rPr>
              <w:t>per month</w:t>
            </w:r>
          </w:p>
        </w:tc>
      </w:tr>
      <w:tr>
        <w:tc>
          <w:tcPr>
            <w:tcW w:type="dxa" w:w="5102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</w:pPr>
            <w:r>
              <w:rPr>
                <w:rFonts w:ascii="Calibri" w:hAnsi="Calibri" w:eastAsia="Calibri" w:cs="Arial"/>
                <w:b w:val="0"/>
                <w:i w:val="0"/>
                <w:color w:val="15233B"/>
                <w:sz w:val="19"/>
              </w:rPr>
              <w:t>Employer payroll taxes</w:t>
            </w:r>
          </w:p>
        </w:tc>
        <w:tc>
          <w:tcPr>
            <w:tcW w:type="dxa" w:w="2041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/>
                <w:i w:val="0"/>
                <w:color w:val="15233B"/>
                <w:sz w:val="19"/>
              </w:rPr>
              <w:t>25.0%</w:t>
            </w:r>
          </w:p>
        </w:tc>
        <w:tc>
          <w:tcPr>
            <w:tcW w:type="dxa" w:w="1928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</w:pPr>
            <w:r>
              <w:rPr>
                <w:rFonts w:ascii="Calibri" w:hAnsi="Calibri" w:eastAsia="Calibri" w:cs="Arial"/>
                <w:b w:val="0"/>
                <w:i w:val="0"/>
                <w:color w:val="7D879B"/>
                <w:sz w:val="17"/>
              </w:rPr>
              <w:t>of gross pay</w:t>
            </w:r>
          </w:p>
        </w:tc>
      </w:tr>
    </w:tbl>
    <w:p>
      <w:pPr>
        <w:spacing w:after="80" w:before="0" w:line="276" w:lineRule="auto"/>
      </w:pPr>
    </w:p>
    <w:p>
      <w:pPr>
        <w:pStyle w:val="Heading2"/>
        <w:keepNext/>
        <w:spacing w:before="240" w:after="120"/>
      </w:pPr>
      <w:r>
        <w:rPr>
          <w:rFonts w:ascii="Calibri" w:hAnsi="Calibri" w:eastAsia="Calibri" w:cs="Arial"/>
          <w:b/>
          <w:i w:val="0"/>
          <w:color w:val="15233B"/>
          <w:sz w:val="25"/>
        </w:rPr>
        <w:t>Investment and funding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c>
          <w:tcPr>
            <w:tcW w:type="dxa" w:w="5102"/>
            <w:tcBorders>
              <w:top w:val="single" w:sz="8" w:color="15233B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</w:pPr>
            <w:r>
              <w:rPr>
                <w:rFonts w:ascii="Calibri" w:hAnsi="Calibri" w:eastAsia="Calibri" w:cs="Arial"/>
                <w:b w:val="0"/>
                <w:i w:val="0"/>
                <w:color w:val="15233B"/>
                <w:sz w:val="19"/>
              </w:rPr>
              <w:t>Start-up investment</w:t>
            </w:r>
            <w:r>
              <w:rPr>
                <w:rFonts w:ascii="Calibri" w:hAnsi="Calibri" w:eastAsia="Calibri" w:cs="Arial"/>
                <w:b w:val="0"/>
                <w:i w:val="0"/>
                <w:color w:val="7D879B"/>
                <w:sz w:val="16"/>
              </w:rPr>
              <w:br/>
              <w:t>Equipment, fit-out, website, deposits.</w:t>
            </w:r>
          </w:p>
        </w:tc>
        <w:tc>
          <w:tcPr>
            <w:tcW w:type="dxa" w:w="2041"/>
            <w:tcBorders>
              <w:top w:val="single" w:sz="8" w:color="15233B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/>
                <w:i w:val="0"/>
                <w:color w:val="15233B"/>
                <w:sz w:val="19"/>
              </w:rPr>
              <w:t>£40,000</w:t>
            </w:r>
          </w:p>
        </w:tc>
        <w:tc>
          <w:tcPr>
            <w:tcW w:type="dxa" w:w="1928"/>
            <w:tcBorders>
              <w:top w:val="single" w:sz="8" w:color="15233B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</w:pPr>
            <w:r>
              <w:rPr>
                <w:rFonts w:ascii="Calibri" w:hAnsi="Calibri" w:eastAsia="Calibri" w:cs="Arial"/>
                <w:b w:val="0"/>
                <w:i w:val="0"/>
                <w:color w:val="7D879B"/>
                <w:sz w:val="17"/>
              </w:rPr>
              <w:t>month 1</w:t>
            </w:r>
          </w:p>
        </w:tc>
      </w:tr>
      <w:tr>
        <w:tc>
          <w:tcPr>
            <w:tcW w:type="dxa" w:w="5102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</w:pPr>
            <w:r>
              <w:rPr>
                <w:rFonts w:ascii="Calibri" w:hAnsi="Calibri" w:eastAsia="Calibri" w:cs="Arial"/>
                <w:b w:val="0"/>
                <w:i w:val="0"/>
                <w:color w:val="15233B"/>
                <w:sz w:val="19"/>
              </w:rPr>
              <w:t>Depreciation period</w:t>
            </w:r>
            <w:r>
              <w:rPr>
                <w:rFonts w:ascii="Calibri" w:hAnsi="Calibri" w:eastAsia="Calibri" w:cs="Arial"/>
                <w:b w:val="0"/>
                <w:i w:val="0"/>
                <w:color w:val="7D879B"/>
                <w:sz w:val="16"/>
              </w:rPr>
              <w:br/>
              <w:t>Straight-line.</w:t>
            </w:r>
          </w:p>
        </w:tc>
        <w:tc>
          <w:tcPr>
            <w:tcW w:type="dxa" w:w="2041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/>
                <w:i w:val="0"/>
                <w:color w:val="15233B"/>
                <w:sz w:val="19"/>
              </w:rPr>
              <w:t>5</w:t>
            </w:r>
          </w:p>
        </w:tc>
        <w:tc>
          <w:tcPr>
            <w:tcW w:type="dxa" w:w="1928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</w:pPr>
            <w:r>
              <w:rPr>
                <w:rFonts w:ascii="Calibri" w:hAnsi="Calibri" w:eastAsia="Calibri" w:cs="Arial"/>
                <w:b w:val="0"/>
                <w:i w:val="0"/>
                <w:color w:val="7D879B"/>
                <w:sz w:val="17"/>
              </w:rPr>
              <w:t>years</w:t>
            </w:r>
          </w:p>
        </w:tc>
      </w:tr>
      <w:tr>
        <w:tc>
          <w:tcPr>
            <w:tcW w:type="dxa" w:w="5102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</w:pPr>
            <w:r>
              <w:rPr>
                <w:rFonts w:ascii="Calibri" w:hAnsi="Calibri" w:eastAsia="Calibri" w:cs="Arial"/>
                <w:b w:val="0"/>
                <w:i w:val="0"/>
                <w:color w:val="15233B"/>
                <w:sz w:val="19"/>
              </w:rPr>
              <w:t>Owner's equity</w:t>
            </w:r>
          </w:p>
        </w:tc>
        <w:tc>
          <w:tcPr>
            <w:tcW w:type="dxa" w:w="2041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/>
                <w:i w:val="0"/>
                <w:color w:val="15233B"/>
                <w:sz w:val="19"/>
              </w:rPr>
              <w:t>£50,000</w:t>
            </w:r>
          </w:p>
        </w:tc>
        <w:tc>
          <w:tcPr>
            <w:tcW w:type="dxa" w:w="1928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</w:pPr>
            <w:r>
              <w:rPr>
                <w:rFonts w:ascii="Calibri" w:hAnsi="Calibri" w:eastAsia="Calibri" w:cs="Arial"/>
                <w:b w:val="0"/>
                <w:i w:val="0"/>
                <w:color w:val="7D879B"/>
                <w:sz w:val="17"/>
              </w:rPr>
              <w:t>month 1</w:t>
            </w:r>
          </w:p>
        </w:tc>
      </w:tr>
      <w:tr>
        <w:tc>
          <w:tcPr>
            <w:tcW w:type="dxa" w:w="5102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</w:pPr>
            <w:r>
              <w:rPr>
                <w:rFonts w:ascii="Calibri" w:hAnsi="Calibri" w:eastAsia="Calibri" w:cs="Arial"/>
                <w:b w:val="0"/>
                <w:i w:val="0"/>
                <w:color w:val="15233B"/>
                <w:sz w:val="19"/>
              </w:rPr>
              <w:t>Bank loan</w:t>
            </w:r>
          </w:p>
        </w:tc>
        <w:tc>
          <w:tcPr>
            <w:tcW w:type="dxa" w:w="2041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/>
                <w:i w:val="0"/>
                <w:color w:val="15233B"/>
                <w:sz w:val="19"/>
              </w:rPr>
              <w:t>£60,000</w:t>
            </w:r>
          </w:p>
        </w:tc>
        <w:tc>
          <w:tcPr>
            <w:tcW w:type="dxa" w:w="1928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</w:pPr>
            <w:r>
              <w:rPr>
                <w:rFonts w:ascii="Calibri" w:hAnsi="Calibri" w:eastAsia="Calibri" w:cs="Arial"/>
                <w:b w:val="0"/>
                <w:i w:val="0"/>
                <w:color w:val="7D879B"/>
                <w:sz w:val="17"/>
              </w:rPr>
              <w:t>month 1</w:t>
            </w:r>
          </w:p>
        </w:tc>
      </w:tr>
      <w:tr>
        <w:tc>
          <w:tcPr>
            <w:tcW w:type="dxa" w:w="5102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</w:pPr>
            <w:r>
              <w:rPr>
                <w:rFonts w:ascii="Calibri" w:hAnsi="Calibri" w:eastAsia="Calibri" w:cs="Arial"/>
                <w:b w:val="0"/>
                <w:i w:val="0"/>
                <w:color w:val="15233B"/>
                <w:sz w:val="19"/>
              </w:rPr>
              <w:t>Annual loan interest rate</w:t>
            </w:r>
          </w:p>
        </w:tc>
        <w:tc>
          <w:tcPr>
            <w:tcW w:type="dxa" w:w="2041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/>
                <w:i w:val="0"/>
                <w:color w:val="15233B"/>
                <w:sz w:val="19"/>
              </w:rPr>
              <w:t>6.0%</w:t>
            </w:r>
          </w:p>
        </w:tc>
        <w:tc>
          <w:tcPr>
            <w:tcW w:type="dxa" w:w="1928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</w:pPr>
            <w:r>
              <w:rPr>
                <w:rFonts w:ascii="Calibri" w:hAnsi="Calibri" w:eastAsia="Calibri" w:cs="Arial"/>
                <w:b w:val="0"/>
                <w:i w:val="0"/>
                <w:color w:val="7D879B"/>
                <w:sz w:val="17"/>
              </w:rPr>
              <w:t>per year</w:t>
            </w:r>
          </w:p>
        </w:tc>
      </w:tr>
      <w:tr>
        <w:tc>
          <w:tcPr>
            <w:tcW w:type="dxa" w:w="5102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</w:pPr>
            <w:r>
              <w:rPr>
                <w:rFonts w:ascii="Calibri" w:hAnsi="Calibri" w:eastAsia="Calibri" w:cs="Arial"/>
                <w:b w:val="0"/>
                <w:i w:val="0"/>
                <w:color w:val="15233B"/>
                <w:sz w:val="19"/>
              </w:rPr>
              <w:t>Loan term</w:t>
            </w:r>
            <w:r>
              <w:rPr>
                <w:rFonts w:ascii="Calibri" w:hAnsi="Calibri" w:eastAsia="Calibri" w:cs="Arial"/>
                <w:b w:val="0"/>
                <w:i w:val="0"/>
                <w:color w:val="7D879B"/>
                <w:sz w:val="16"/>
              </w:rPr>
              <w:br/>
              <w:t>Repaid in equal monthly instalments.</w:t>
            </w:r>
          </w:p>
        </w:tc>
        <w:tc>
          <w:tcPr>
            <w:tcW w:type="dxa" w:w="2041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/>
                <w:i w:val="0"/>
                <w:color w:val="15233B"/>
                <w:sz w:val="19"/>
              </w:rPr>
              <w:t>60</w:t>
            </w:r>
          </w:p>
        </w:tc>
        <w:tc>
          <w:tcPr>
            <w:tcW w:type="dxa" w:w="1928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</w:pPr>
            <w:r>
              <w:rPr>
                <w:rFonts w:ascii="Calibri" w:hAnsi="Calibri" w:eastAsia="Calibri" w:cs="Arial"/>
                <w:b w:val="0"/>
                <w:i w:val="0"/>
                <w:color w:val="7D879B"/>
                <w:sz w:val="17"/>
              </w:rPr>
              <w:t>months</w:t>
            </w:r>
          </w:p>
        </w:tc>
      </w:tr>
      <w:tr>
        <w:tc>
          <w:tcPr>
            <w:tcW w:type="dxa" w:w="5102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</w:pPr>
            <w:r>
              <w:rPr>
                <w:rFonts w:ascii="Calibri" w:hAnsi="Calibri" w:eastAsia="Calibri" w:cs="Arial"/>
                <w:b w:val="0"/>
                <w:i w:val="0"/>
                <w:color w:val="15233B"/>
                <w:sz w:val="19"/>
              </w:rPr>
              <w:t>Tax rate on profit</w:t>
            </w:r>
            <w:r>
              <w:rPr>
                <w:rFonts w:ascii="Calibri" w:hAnsi="Calibri" w:eastAsia="Calibri" w:cs="Arial"/>
                <w:b w:val="0"/>
                <w:i w:val="0"/>
                <w:color w:val="7D879B"/>
                <w:sz w:val="16"/>
              </w:rPr>
              <w:br/>
              <w:t>Applied when profit before tax is positive (monthly simplification).</w:t>
            </w:r>
          </w:p>
        </w:tc>
        <w:tc>
          <w:tcPr>
            <w:tcW w:type="dxa" w:w="2041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/>
                <w:i w:val="0"/>
                <w:color w:val="15233B"/>
                <w:sz w:val="19"/>
              </w:rPr>
              <w:t>20.0%</w:t>
            </w:r>
          </w:p>
        </w:tc>
        <w:tc>
          <w:tcPr>
            <w:tcW w:type="dxa" w:w="1928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</w:pPr>
            <w:r>
              <w:rPr>
                <w:rFonts w:ascii="Calibri" w:hAnsi="Calibri" w:eastAsia="Calibri" w:cs="Arial"/>
                <w:b w:val="0"/>
                <w:i w:val="0"/>
                <w:color w:val="7D879B"/>
                <w:sz w:val="17"/>
              </w:rPr>
              <w:t>of profit</w:t>
            </w:r>
          </w:p>
        </w:tc>
      </w:tr>
    </w:tbl>
    <w:p>
      <w:pPr>
        <w:spacing w:after="80" w:before="0" w:line="276" w:lineRule="auto"/>
      </w:pPr>
    </w:p>
    <w:p>
      <w:pPr>
        <w:pStyle w:val="Heading2"/>
        <w:keepNext/>
        <w:spacing w:before="240" w:after="120"/>
      </w:pPr>
      <w:r>
        <w:rPr>
          <w:rFonts w:ascii="Calibri" w:hAnsi="Calibri" w:eastAsia="Calibri" w:cs="Arial"/>
          <w:b/>
          <w:i w:val="0"/>
          <w:color w:val="15233B"/>
          <w:sz w:val="25"/>
        </w:rPr>
        <w:t>Payment terms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c>
          <w:tcPr>
            <w:tcW w:type="dxa" w:w="5102"/>
            <w:tcBorders>
              <w:top w:val="single" w:sz="8" w:color="15233B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</w:pPr>
            <w:r>
              <w:rPr>
                <w:rFonts w:ascii="Calibri" w:hAnsi="Calibri" w:eastAsia="Calibri" w:cs="Arial"/>
                <w:b w:val="0"/>
                <w:i w:val="0"/>
                <w:color w:val="15233B"/>
                <w:sz w:val="19"/>
              </w:rPr>
              <w:t>Customer payment terms</w:t>
            </w:r>
          </w:p>
        </w:tc>
        <w:tc>
          <w:tcPr>
            <w:tcW w:type="dxa" w:w="2041"/>
            <w:tcBorders>
              <w:top w:val="single" w:sz="8" w:color="15233B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/>
                <w:i w:val="0"/>
                <w:color w:val="15233B"/>
                <w:sz w:val="19"/>
              </w:rPr>
              <w:t>30</w:t>
            </w:r>
          </w:p>
        </w:tc>
        <w:tc>
          <w:tcPr>
            <w:tcW w:type="dxa" w:w="1928"/>
            <w:tcBorders>
              <w:top w:val="single" w:sz="8" w:color="15233B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</w:pPr>
            <w:r>
              <w:rPr>
                <w:rFonts w:ascii="Calibri" w:hAnsi="Calibri" w:eastAsia="Calibri" w:cs="Arial"/>
                <w:b w:val="0"/>
                <w:i w:val="0"/>
                <w:color w:val="7D879B"/>
                <w:sz w:val="17"/>
              </w:rPr>
              <w:t>days</w:t>
            </w:r>
          </w:p>
        </w:tc>
      </w:tr>
      <w:tr>
        <w:tc>
          <w:tcPr>
            <w:tcW w:type="dxa" w:w="5102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</w:pPr>
            <w:r>
              <w:rPr>
                <w:rFonts w:ascii="Calibri" w:hAnsi="Calibri" w:eastAsia="Calibri" w:cs="Arial"/>
                <w:b w:val="0"/>
                <w:i w:val="0"/>
                <w:color w:val="15233B"/>
                <w:sz w:val="19"/>
              </w:rPr>
              <w:t>Supplier payment terms</w:t>
            </w:r>
          </w:p>
        </w:tc>
        <w:tc>
          <w:tcPr>
            <w:tcW w:type="dxa" w:w="2041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/>
                <w:i w:val="0"/>
                <w:color w:val="15233B"/>
                <w:sz w:val="19"/>
              </w:rPr>
              <w:t>30</w:t>
            </w:r>
          </w:p>
        </w:tc>
        <w:tc>
          <w:tcPr>
            <w:tcW w:type="dxa" w:w="1928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</w:pPr>
            <w:r>
              <w:rPr>
                <w:rFonts w:ascii="Calibri" w:hAnsi="Calibri" w:eastAsia="Calibri" w:cs="Arial"/>
                <w:b w:val="0"/>
                <w:i w:val="0"/>
                <w:color w:val="7D879B"/>
                <w:sz w:val="17"/>
              </w:rPr>
              <w:t>days</w:t>
            </w:r>
          </w:p>
        </w:tc>
      </w:tr>
    </w:tbl>
    <w:p>
      <w:pPr>
        <w:spacing w:after="80" w:before="0" w:line="276" w:lineRule="auto"/>
      </w:pPr>
    </w:p>
    <w:p>
      <w:r>
        <w:br w:type="page"/>
      </w:r>
    </w:p>
    <w:p>
      <w:pPr>
        <w:pStyle w:val="Heading1"/>
        <w:keepNext/>
        <w:spacing w:before="0" w:after="120"/>
      </w:pPr>
      <w:r>
        <w:rPr>
          <w:rFonts w:ascii="Georgia" w:hAnsi="Georgia" w:eastAsia="Georgia" w:cs="Arial"/>
          <w:b w:val="0"/>
          <w:i w:val="0"/>
          <w:color w:val="15233B"/>
          <w:sz w:val="44"/>
        </w:rPr>
        <w:t>Three-year profit and loss</w:t>
      </w:r>
    </w:p>
    <w:p>
      <w:pPr>
        <w:spacing w:after="240" w:before="0" w:line="276" w:lineRule="auto"/>
      </w:pPr>
      <w:r>
        <w:rPr>
          <w:rFonts w:ascii="Calibri" w:hAnsi="Calibri" w:eastAsia="Calibri" w:cs="Arial"/>
          <w:b w:val="0"/>
          <w:i w:val="0"/>
          <w:color w:val="4A5772"/>
          <w:sz w:val="21"/>
        </w:rPr>
        <w:t>From revenue to net profit, year by year. Variable costs and marketing move with sales; fixed costs and salaries do not.</w:t>
      </w:r>
    </w:p>
    <w:p>
      <w:pPr>
        <w:spacing w:after="120"/>
        <w:jc w:val="center"/>
      </w:pPr>
      <w:r>
        <w:drawing>
          <wp:inline xmlns:a="http://schemas.openxmlformats.org/drawingml/2006/main" xmlns:pic="http://schemas.openxmlformats.org/drawingml/2006/picture">
            <wp:extent cx="5580000" cy="239070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nl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2390702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blHeader w:val="true"/>
        </w:trPr>
        <w:tc>
          <w:tcPr>
            <w:tcW w:type="dxa" w:w="4649"/>
            <w:tcBorders>
              <w:top w:val="nil"/>
              <w:left w:val="nil"/>
              <w:bottom w:val="single" w:sz="8" w:color="15233B"/>
              <w:right w:val="nil"/>
            </w:tcBorders>
          </w:tcPr>
          <w:p>
            <w:pPr>
              <w:spacing w:after="40" w:before="40"/>
              <w:jc w:val="left"/>
            </w:pPr>
            <w:r>
              <w:rPr>
                <w:rFonts w:ascii="Calibri" w:hAnsi="Calibri" w:eastAsia="Calibri" w:cs="Arial"/>
                <w:b w:val="0"/>
                <w:i w:val="0"/>
                <w:color w:val="7D879B"/>
                <w:sz w:val="16"/>
              </w:rPr>
              <w:t>In GBP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8" w:color="15233B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 w:val="0"/>
                <w:i w:val="0"/>
                <w:color w:val="7D879B"/>
                <w:sz w:val="16"/>
              </w:rPr>
              <w:t>Year 1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8" w:color="15233B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 w:val="0"/>
                <w:i w:val="0"/>
                <w:color w:val="7D879B"/>
                <w:sz w:val="16"/>
              </w:rPr>
              <w:t>Year 2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8" w:color="15233B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 w:val="0"/>
                <w:i w:val="0"/>
                <w:color w:val="7D879B"/>
                <w:sz w:val="16"/>
              </w:rPr>
              <w:t>Year 3</w:t>
            </w:r>
          </w:p>
        </w:tc>
      </w:tr>
      <w:tr>
        <w:trPr>
          <w:cantSplit w:val="true"/>
        </w:trPr>
        <w:tc>
          <w:tcPr>
            <w:tcW w:type="dxa" w:w="4649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left"/>
            </w:pPr>
            <w:r>
              <w:rPr>
                <w:rFonts w:ascii="Calibri" w:hAnsi="Calibri" w:eastAsia="Calibri" w:cs="Arial"/>
                <w:b/>
                <w:i w:val="0"/>
                <w:color w:val="15233B"/>
                <w:sz w:val="18"/>
              </w:rPr>
              <w:t>Revenue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/>
                <w:i w:val="0"/>
                <w:color w:val="15233B"/>
                <w:sz w:val="18"/>
              </w:rPr>
              <w:t>270,464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/>
                <w:i w:val="0"/>
                <w:color w:val="15233B"/>
                <w:sz w:val="18"/>
              </w:rPr>
              <w:t>379,084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/>
                <w:i w:val="0"/>
                <w:color w:val="15233B"/>
                <w:sz w:val="18"/>
              </w:rPr>
              <w:t>450,161</w:t>
            </w:r>
          </w:p>
        </w:tc>
      </w:tr>
      <w:tr>
        <w:trPr>
          <w:cantSplit w:val="true"/>
        </w:trPr>
        <w:tc>
          <w:tcPr>
            <w:tcW w:type="dxa" w:w="4649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ind w:left="180"/>
              <w:jc w:val="left"/>
            </w:pPr>
            <w:r>
              <w:rPr>
                <w:rFonts w:ascii="Calibri" w:hAnsi="Calibri" w:eastAsia="Calibri" w:cs="Arial"/>
                <w:b w:val="0"/>
                <w:i w:val="0"/>
                <w:color w:val="4A5772"/>
                <w:sz w:val="18"/>
              </w:rPr>
              <w:t>Variable costs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 w:val="0"/>
                <w:i w:val="0"/>
                <w:color w:val="4A5772"/>
                <w:sz w:val="18"/>
              </w:rPr>
              <w:t>(81,139)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 w:val="0"/>
                <w:i w:val="0"/>
                <w:color w:val="4A5772"/>
                <w:sz w:val="18"/>
              </w:rPr>
              <w:t>(113,725)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 w:val="0"/>
                <w:i w:val="0"/>
                <w:color w:val="4A5772"/>
                <w:sz w:val="18"/>
              </w:rPr>
              <w:t>(135,048)</w:t>
            </w:r>
          </w:p>
        </w:tc>
      </w:tr>
      <w:tr>
        <w:trPr>
          <w:cantSplit w:val="true"/>
        </w:trPr>
        <w:tc>
          <w:tcPr>
            <w:tcW w:type="dxa" w:w="4649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ind w:left="180"/>
              <w:jc w:val="left"/>
            </w:pPr>
            <w:r>
              <w:rPr>
                <w:rFonts w:ascii="Calibri" w:hAnsi="Calibri" w:eastAsia="Calibri" w:cs="Arial"/>
                <w:b w:val="0"/>
                <w:i w:val="0"/>
                <w:color w:val="4A5772"/>
                <w:sz w:val="18"/>
              </w:rPr>
              <w:t>Marketing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 w:val="0"/>
                <w:i w:val="0"/>
                <w:color w:val="4A5772"/>
                <w:sz w:val="18"/>
              </w:rPr>
              <w:t>(21,637)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 w:val="0"/>
                <w:i w:val="0"/>
                <w:color w:val="4A5772"/>
                <w:sz w:val="18"/>
              </w:rPr>
              <w:t>(30,327)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 w:val="0"/>
                <w:i w:val="0"/>
                <w:color w:val="4A5772"/>
                <w:sz w:val="18"/>
              </w:rPr>
              <w:t>(36,013)</w:t>
            </w:r>
          </w:p>
        </w:tc>
      </w:tr>
      <w:tr>
        <w:trPr>
          <w:cantSplit w:val="true"/>
        </w:trPr>
        <w:tc>
          <w:tcPr>
            <w:tcW w:type="dxa" w:w="4649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left"/>
            </w:pPr>
            <w:r>
              <w:rPr>
                <w:rFonts w:ascii="Calibri" w:hAnsi="Calibri" w:eastAsia="Calibri" w:cs="Arial"/>
                <w:b/>
                <w:i w:val="0"/>
                <w:color w:val="15233B"/>
                <w:sz w:val="18"/>
              </w:rPr>
              <w:t>Contribution margin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/>
                <w:i w:val="0"/>
                <w:color w:val="15233B"/>
                <w:sz w:val="18"/>
              </w:rPr>
              <w:t>167,688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/>
                <w:i w:val="0"/>
                <w:color w:val="15233B"/>
                <w:sz w:val="18"/>
              </w:rPr>
              <w:t>235,032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/>
                <w:i w:val="0"/>
                <w:color w:val="15233B"/>
                <w:sz w:val="18"/>
              </w:rPr>
              <w:t>279,100</w:t>
            </w:r>
          </w:p>
        </w:tc>
      </w:tr>
      <w:tr>
        <w:trPr>
          <w:cantSplit w:val="true"/>
        </w:trPr>
        <w:tc>
          <w:tcPr>
            <w:tcW w:type="dxa" w:w="4649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ind w:left="180"/>
              <w:jc w:val="left"/>
            </w:pPr>
            <w:r>
              <w:rPr>
                <w:rFonts w:ascii="Calibri" w:hAnsi="Calibri" w:eastAsia="Calibri" w:cs="Arial"/>
                <w:b w:val="0"/>
                <w:i w:val="0"/>
                <w:color w:val="4A5772"/>
                <w:sz w:val="18"/>
              </w:rPr>
              <w:t>Fixed costs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 w:val="0"/>
                <w:i w:val="0"/>
                <w:color w:val="4A5772"/>
                <w:sz w:val="18"/>
              </w:rPr>
              <w:t>(60,000)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 w:val="0"/>
                <w:i w:val="0"/>
                <w:color w:val="4A5772"/>
                <w:sz w:val="18"/>
              </w:rPr>
              <w:t>(61,800)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 w:val="0"/>
                <w:i w:val="0"/>
                <w:color w:val="4A5772"/>
                <w:sz w:val="18"/>
              </w:rPr>
              <w:t>(63,654)</w:t>
            </w:r>
          </w:p>
        </w:tc>
      </w:tr>
      <w:tr>
        <w:trPr>
          <w:cantSplit w:val="true"/>
        </w:trPr>
        <w:tc>
          <w:tcPr>
            <w:tcW w:type="dxa" w:w="4649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ind w:left="180"/>
              <w:jc w:val="left"/>
            </w:pPr>
            <w:r>
              <w:rPr>
                <w:rFonts w:ascii="Calibri" w:hAnsi="Calibri" w:eastAsia="Calibri" w:cs="Arial"/>
                <w:b w:val="0"/>
                <w:i w:val="0"/>
                <w:color w:val="4A5772"/>
                <w:sz w:val="18"/>
              </w:rPr>
              <w:t>Salaries incl. payroll taxes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 w:val="0"/>
                <w:i w:val="0"/>
                <w:color w:val="4A5772"/>
                <w:sz w:val="18"/>
              </w:rPr>
              <w:t>(105,000)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 w:val="0"/>
                <w:i w:val="0"/>
                <w:color w:val="4A5772"/>
                <w:sz w:val="18"/>
              </w:rPr>
              <w:t>(105,000)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 w:val="0"/>
                <w:i w:val="0"/>
                <w:color w:val="4A5772"/>
                <w:sz w:val="18"/>
              </w:rPr>
              <w:t>(105,000)</w:t>
            </w:r>
          </w:p>
        </w:tc>
      </w:tr>
      <w:tr>
        <w:trPr>
          <w:cantSplit w:val="true"/>
        </w:trPr>
        <w:tc>
          <w:tcPr>
            <w:tcW w:type="dxa" w:w="4649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left"/>
            </w:pPr>
            <w:r>
              <w:rPr>
                <w:rFonts w:ascii="Calibri" w:hAnsi="Calibri" w:eastAsia="Calibri" w:cs="Arial"/>
                <w:b/>
                <w:i w:val="0"/>
                <w:color w:val="15233B"/>
                <w:sz w:val="18"/>
              </w:rPr>
              <w:t>EBITDA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/>
                <w:i w:val="0"/>
                <w:color w:val="15233B"/>
                <w:sz w:val="18"/>
              </w:rPr>
              <w:t>2,688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/>
                <w:i w:val="0"/>
                <w:color w:val="15233B"/>
                <w:sz w:val="18"/>
              </w:rPr>
              <w:t>68,232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/>
                <w:i w:val="0"/>
                <w:color w:val="15233B"/>
                <w:sz w:val="18"/>
              </w:rPr>
              <w:t>110,446</w:t>
            </w:r>
          </w:p>
        </w:tc>
      </w:tr>
      <w:tr>
        <w:trPr>
          <w:cantSplit w:val="true"/>
        </w:trPr>
        <w:tc>
          <w:tcPr>
            <w:tcW w:type="dxa" w:w="4649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ind w:left="180"/>
              <w:jc w:val="left"/>
            </w:pPr>
            <w:r>
              <w:rPr>
                <w:rFonts w:ascii="Calibri" w:hAnsi="Calibri" w:eastAsia="Calibri" w:cs="Arial"/>
                <w:b w:val="0"/>
                <w:i w:val="0"/>
                <w:color w:val="4A5772"/>
                <w:sz w:val="18"/>
              </w:rPr>
              <w:t>Depreciation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 w:val="0"/>
                <w:i w:val="0"/>
                <w:color w:val="4A5772"/>
                <w:sz w:val="18"/>
              </w:rPr>
              <w:t>(8,000)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 w:val="0"/>
                <w:i w:val="0"/>
                <w:color w:val="4A5772"/>
                <w:sz w:val="18"/>
              </w:rPr>
              <w:t>(8,000)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 w:val="0"/>
                <w:i w:val="0"/>
                <w:color w:val="4A5772"/>
                <w:sz w:val="18"/>
              </w:rPr>
              <w:t>(8,000)</w:t>
            </w:r>
          </w:p>
        </w:tc>
      </w:tr>
      <w:tr>
        <w:trPr>
          <w:cantSplit w:val="true"/>
        </w:trPr>
        <w:tc>
          <w:tcPr>
            <w:tcW w:type="dxa" w:w="4649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left"/>
            </w:pPr>
            <w:r>
              <w:rPr>
                <w:rFonts w:ascii="Calibri" w:hAnsi="Calibri" w:eastAsia="Calibri" w:cs="Arial"/>
                <w:b/>
                <w:i w:val="0"/>
                <w:color w:val="15233B"/>
                <w:sz w:val="18"/>
              </w:rPr>
              <w:t>Operating profit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/>
                <w:i w:val="0"/>
                <w:color w:val="15233B"/>
                <w:sz w:val="18"/>
              </w:rPr>
              <w:t>(5,312)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/>
                <w:i w:val="0"/>
                <w:color w:val="15233B"/>
                <w:sz w:val="18"/>
              </w:rPr>
              <w:t>60,232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/>
                <w:i w:val="0"/>
                <w:color w:val="15233B"/>
                <w:sz w:val="18"/>
              </w:rPr>
              <w:t>102,446</w:t>
            </w:r>
          </w:p>
        </w:tc>
      </w:tr>
      <w:tr>
        <w:trPr>
          <w:cantSplit w:val="true"/>
        </w:trPr>
        <w:tc>
          <w:tcPr>
            <w:tcW w:type="dxa" w:w="4649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ind w:left="180"/>
              <w:jc w:val="left"/>
            </w:pPr>
            <w:r>
              <w:rPr>
                <w:rFonts w:ascii="Calibri" w:hAnsi="Calibri" w:eastAsia="Calibri" w:cs="Arial"/>
                <w:b w:val="0"/>
                <w:i w:val="0"/>
                <w:color w:val="4A5772"/>
                <w:sz w:val="18"/>
              </w:rPr>
              <w:t>Loan interest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 w:val="0"/>
                <w:i w:val="0"/>
                <w:color w:val="4A5772"/>
                <w:sz w:val="18"/>
              </w:rPr>
              <w:t>(3,311)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 w:val="0"/>
                <w:i w:val="0"/>
                <w:color w:val="4A5772"/>
                <w:sz w:val="18"/>
              </w:rPr>
              <w:t>(2,657)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 w:val="0"/>
                <w:i w:val="0"/>
                <w:color w:val="4A5772"/>
                <w:sz w:val="18"/>
              </w:rPr>
              <w:t>(1,962)</w:t>
            </w:r>
          </w:p>
        </w:tc>
      </w:tr>
      <w:tr>
        <w:trPr>
          <w:cantSplit w:val="true"/>
        </w:trPr>
        <w:tc>
          <w:tcPr>
            <w:tcW w:type="dxa" w:w="4649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left"/>
            </w:pPr>
            <w:r>
              <w:rPr>
                <w:rFonts w:ascii="Calibri" w:hAnsi="Calibri" w:eastAsia="Calibri" w:cs="Arial"/>
                <w:b w:val="0"/>
                <w:i w:val="0"/>
                <w:color w:val="15233B"/>
                <w:sz w:val="18"/>
              </w:rPr>
              <w:t>Profit before tax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 w:val="0"/>
                <w:i w:val="0"/>
                <w:color w:val="15233B"/>
                <w:sz w:val="18"/>
              </w:rPr>
              <w:t>(8,623)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 w:val="0"/>
                <w:i w:val="0"/>
                <w:color w:val="15233B"/>
                <w:sz w:val="18"/>
              </w:rPr>
              <w:t>57,575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 w:val="0"/>
                <w:i w:val="0"/>
                <w:color w:val="15233B"/>
                <w:sz w:val="18"/>
              </w:rPr>
              <w:t>100,483</w:t>
            </w:r>
          </w:p>
        </w:tc>
      </w:tr>
      <w:tr>
        <w:trPr>
          <w:cantSplit w:val="true"/>
        </w:trPr>
        <w:tc>
          <w:tcPr>
            <w:tcW w:type="dxa" w:w="4649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ind w:left="180"/>
              <w:jc w:val="left"/>
            </w:pPr>
            <w:r>
              <w:rPr>
                <w:rFonts w:ascii="Calibri" w:hAnsi="Calibri" w:eastAsia="Calibri" w:cs="Arial"/>
                <w:b w:val="0"/>
                <w:i w:val="0"/>
                <w:color w:val="4A5772"/>
                <w:sz w:val="18"/>
              </w:rPr>
              <w:t>Tax on profit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 w:val="0"/>
                <w:i w:val="0"/>
                <w:color w:val="4A5772"/>
                <w:sz w:val="18"/>
              </w:rPr>
              <w:t>(1,232)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 w:val="0"/>
                <w:i w:val="0"/>
                <w:color w:val="4A5772"/>
                <w:sz w:val="18"/>
              </w:rPr>
              <w:t>(11,515)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 w:val="0"/>
                <w:i w:val="0"/>
                <w:color w:val="4A5772"/>
                <w:sz w:val="18"/>
              </w:rPr>
              <w:t>(20,097)</w:t>
            </w:r>
          </w:p>
        </w:tc>
      </w:tr>
      <w:tr>
        <w:trPr>
          <w:cantSplit w:val="true"/>
        </w:trPr>
        <w:tc>
          <w:tcPr>
            <w:tcW w:type="dxa" w:w="4649"/>
            <w:shd w:val="clear" w:color="auto" w:fill="E8F3EE"/>
            <w:tcBorders>
              <w:top w:val="nil"/>
              <w:left w:val="nil"/>
              <w:bottom w:val="single" w:sz="8" w:color="15233B"/>
              <w:right w:val="nil"/>
            </w:tcBorders>
          </w:tcPr>
          <w:p>
            <w:pPr>
              <w:spacing w:after="40" w:before="40"/>
              <w:jc w:val="left"/>
            </w:pPr>
            <w:r>
              <w:rPr>
                <w:rFonts w:ascii="Calibri" w:hAnsi="Calibri" w:eastAsia="Calibri" w:cs="Arial"/>
                <w:b/>
                <w:i w:val="0"/>
                <w:color w:val="15233B"/>
                <w:sz w:val="18"/>
              </w:rPr>
              <w:t>Net profit</w:t>
            </w:r>
          </w:p>
        </w:tc>
        <w:tc>
          <w:tcPr>
            <w:tcW w:type="dxa" w:w="1474"/>
            <w:shd w:val="clear" w:color="auto" w:fill="E8F3EE"/>
            <w:tcBorders>
              <w:top w:val="nil"/>
              <w:left w:val="nil"/>
              <w:bottom w:val="single" w:sz="8" w:color="15233B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/>
                <w:i w:val="0"/>
                <w:color w:val="15233B"/>
                <w:sz w:val="18"/>
              </w:rPr>
              <w:t>(9,855)</w:t>
            </w:r>
          </w:p>
        </w:tc>
        <w:tc>
          <w:tcPr>
            <w:tcW w:type="dxa" w:w="1474"/>
            <w:shd w:val="clear" w:color="auto" w:fill="E8F3EE"/>
            <w:tcBorders>
              <w:top w:val="nil"/>
              <w:left w:val="nil"/>
              <w:bottom w:val="single" w:sz="8" w:color="15233B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/>
                <w:i w:val="0"/>
                <w:color w:val="15233B"/>
                <w:sz w:val="18"/>
              </w:rPr>
              <w:t>46,060</w:t>
            </w:r>
          </w:p>
        </w:tc>
        <w:tc>
          <w:tcPr>
            <w:tcW w:type="dxa" w:w="1474"/>
            <w:shd w:val="clear" w:color="auto" w:fill="E8F3EE"/>
            <w:tcBorders>
              <w:top w:val="nil"/>
              <w:left w:val="nil"/>
              <w:bottom w:val="single" w:sz="8" w:color="15233B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/>
                <w:i w:val="0"/>
                <w:color w:val="15233B"/>
                <w:sz w:val="18"/>
              </w:rPr>
              <w:t>80,387</w:t>
            </w:r>
          </w:p>
        </w:tc>
      </w:tr>
    </w:tbl>
    <w:p>
      <w:pPr>
        <w:spacing w:after="80" w:before="0" w:line="276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blHeader w:val="true"/>
        </w:trPr>
        <w:tc>
          <w:tcPr>
            <w:tcW w:type="dxa" w:w="4649"/>
            <w:tcBorders>
              <w:top w:val="nil"/>
              <w:left w:val="nil"/>
              <w:bottom w:val="single" w:sz="8" w:color="15233B"/>
              <w:right w:val="nil"/>
            </w:tcBorders>
          </w:tcPr>
          <w:p>
            <w:pPr>
              <w:spacing w:after="40" w:before="40"/>
              <w:jc w:val="left"/>
            </w:pPr>
            <w:r>
              <w:rPr>
                <w:rFonts w:ascii="Calibri" w:hAnsi="Calibri" w:eastAsia="Calibri" w:cs="Arial"/>
                <w:b w:val="0"/>
                <w:i w:val="0"/>
                <w:color w:val="7D879B"/>
                <w:sz w:val="15"/>
              </w:rPr>
              <w:t>Ratios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8" w:color="15233B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 w:val="0"/>
                <w:i w:val="0"/>
                <w:color w:val="7D879B"/>
                <w:sz w:val="15"/>
              </w:rPr>
              <w:t>Year 1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8" w:color="15233B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 w:val="0"/>
                <w:i w:val="0"/>
                <w:color w:val="7D879B"/>
                <w:sz w:val="15"/>
              </w:rPr>
              <w:t>Year 2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8" w:color="15233B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 w:val="0"/>
                <w:i w:val="0"/>
                <w:color w:val="7D879B"/>
                <w:sz w:val="15"/>
              </w:rPr>
              <w:t>Year 3</w:t>
            </w:r>
          </w:p>
        </w:tc>
      </w:tr>
      <w:tr>
        <w:trPr>
          <w:cantSplit w:val="true"/>
        </w:trPr>
        <w:tc>
          <w:tcPr>
            <w:tcW w:type="dxa" w:w="4649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left"/>
            </w:pPr>
            <w:r>
              <w:rPr>
                <w:rFonts w:ascii="Calibri" w:hAnsi="Calibri" w:eastAsia="Calibri" w:cs="Arial"/>
                <w:b w:val="0"/>
                <w:i w:val="0"/>
                <w:color w:val="15233B"/>
                <w:sz w:val="17"/>
              </w:rPr>
              <w:t>Revenue growth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 w:val="0"/>
                <w:i w:val="0"/>
                <w:color w:val="15233B"/>
                <w:sz w:val="17"/>
              </w:rPr>
              <w:t>n/a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 w:val="0"/>
                <w:i w:val="0"/>
                <w:color w:val="15233B"/>
                <w:sz w:val="17"/>
              </w:rPr>
              <w:t>40.0%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 w:val="0"/>
                <w:i w:val="0"/>
                <w:color w:val="15233B"/>
                <w:sz w:val="17"/>
              </w:rPr>
              <w:t>19.0%</w:t>
            </w:r>
          </w:p>
        </w:tc>
      </w:tr>
      <w:tr>
        <w:trPr>
          <w:cantSplit w:val="true"/>
        </w:trPr>
        <w:tc>
          <w:tcPr>
            <w:tcW w:type="dxa" w:w="4649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left"/>
            </w:pPr>
            <w:r>
              <w:rPr>
                <w:rFonts w:ascii="Calibri" w:hAnsi="Calibri" w:eastAsia="Calibri" w:cs="Arial"/>
                <w:b w:val="0"/>
                <w:i w:val="0"/>
                <w:color w:val="15233B"/>
                <w:sz w:val="17"/>
              </w:rPr>
              <w:t>Contribution margin rate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 w:val="0"/>
                <w:i w:val="0"/>
                <w:color w:val="15233B"/>
                <w:sz w:val="17"/>
              </w:rPr>
              <w:t>62.0%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 w:val="0"/>
                <w:i w:val="0"/>
                <w:color w:val="15233B"/>
                <w:sz w:val="17"/>
              </w:rPr>
              <w:t>62.0%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 w:val="0"/>
                <w:i w:val="0"/>
                <w:color w:val="15233B"/>
                <w:sz w:val="17"/>
              </w:rPr>
              <w:t>62.0%</w:t>
            </w:r>
          </w:p>
        </w:tc>
      </w:tr>
      <w:tr>
        <w:trPr>
          <w:cantSplit w:val="true"/>
        </w:trPr>
        <w:tc>
          <w:tcPr>
            <w:tcW w:type="dxa" w:w="4649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left"/>
            </w:pPr>
            <w:r>
              <w:rPr>
                <w:rFonts w:ascii="Calibri" w:hAnsi="Calibri" w:eastAsia="Calibri" w:cs="Arial"/>
                <w:b w:val="0"/>
                <w:i w:val="0"/>
                <w:color w:val="15233B"/>
                <w:sz w:val="17"/>
              </w:rPr>
              <w:t>EBITDA margin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 w:val="0"/>
                <w:i w:val="0"/>
                <w:color w:val="15233B"/>
                <w:sz w:val="17"/>
              </w:rPr>
              <w:t>1.0%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 w:val="0"/>
                <w:i w:val="0"/>
                <w:color w:val="15233B"/>
                <w:sz w:val="17"/>
              </w:rPr>
              <w:t>18.0%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 w:val="0"/>
                <w:i w:val="0"/>
                <w:color w:val="15233B"/>
                <w:sz w:val="17"/>
              </w:rPr>
              <w:t>25.0%</w:t>
            </w:r>
          </w:p>
        </w:tc>
      </w:tr>
      <w:tr>
        <w:trPr>
          <w:cantSplit w:val="true"/>
        </w:trPr>
        <w:tc>
          <w:tcPr>
            <w:tcW w:type="dxa" w:w="4649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left"/>
            </w:pPr>
            <w:r>
              <w:rPr>
                <w:rFonts w:ascii="Calibri" w:hAnsi="Calibri" w:eastAsia="Calibri" w:cs="Arial"/>
                <w:b w:val="0"/>
                <w:i w:val="0"/>
                <w:color w:val="15233B"/>
                <w:sz w:val="17"/>
              </w:rPr>
              <w:t>Net margin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 w:val="0"/>
                <w:i w:val="0"/>
                <w:color w:val="15233B"/>
                <w:sz w:val="17"/>
              </w:rPr>
              <w:t>−4.0%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 w:val="0"/>
                <w:i w:val="0"/>
                <w:color w:val="15233B"/>
                <w:sz w:val="17"/>
              </w:rPr>
              <w:t>12.0%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 w:val="0"/>
                <w:i w:val="0"/>
                <w:color w:val="15233B"/>
                <w:sz w:val="17"/>
              </w:rPr>
              <w:t>18.0%</w:t>
            </w:r>
          </w:p>
        </w:tc>
      </w:tr>
    </w:tbl>
    <w:p>
      <w:pPr>
        <w:spacing w:after="80" w:before="0" w:line="276" w:lineRule="auto"/>
      </w:pPr>
    </w:p>
    <w:p>
      <w:r>
        <w:br w:type="page"/>
      </w:r>
    </w:p>
    <w:p>
      <w:pPr>
        <w:pStyle w:val="Heading1"/>
        <w:keepNext/>
        <w:spacing w:before="0" w:after="120"/>
      </w:pPr>
      <w:r>
        <w:rPr>
          <w:rFonts w:ascii="Georgia" w:hAnsi="Georgia" w:eastAsia="Georgia" w:cs="Arial"/>
          <w:b w:val="0"/>
          <w:i w:val="0"/>
          <w:color w:val="15233B"/>
          <w:sz w:val="44"/>
        </w:rPr>
        <w:t>Cash over 36 months</w:t>
      </w:r>
    </w:p>
    <w:p>
      <w:pPr>
        <w:spacing w:after="240" w:before="0" w:line="276" w:lineRule="auto"/>
      </w:pPr>
      <w:r>
        <w:rPr>
          <w:rFonts w:ascii="Calibri" w:hAnsi="Calibri" w:eastAsia="Calibri" w:cs="Arial"/>
          <w:b w:val="0"/>
          <w:i w:val="0"/>
          <w:color w:val="4A5772"/>
          <w:sz w:val="21"/>
        </w:rPr>
        <w:t>The bank balance at the end of each month, including equity and loan. The dotted line shows it with no funding at all: its lowest point measures the need.</w:t>
      </w:r>
    </w:p>
    <w:p>
      <w:pPr>
        <w:spacing w:after="120"/>
        <w:jc w:val="center"/>
      </w:pPr>
      <w:r>
        <w:drawing>
          <wp:inline xmlns:a="http://schemas.openxmlformats.org/drawingml/2006/main" xmlns:pic="http://schemas.openxmlformats.org/drawingml/2006/picture">
            <wp:extent cx="5580000" cy="24345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reso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24345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  <w:keepNext/>
        <w:spacing w:before="240" w:after="120"/>
      </w:pPr>
      <w:r>
        <w:rPr>
          <w:rFonts w:ascii="Calibri" w:hAnsi="Calibri" w:eastAsia="Calibri" w:cs="Arial"/>
          <w:b/>
          <w:i w:val="0"/>
          <w:color w:val="15233B"/>
          <w:sz w:val="25"/>
        </w:rPr>
        <w:t>By quarter (in thousands)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345"/>
        <w:gridCol w:w="1345"/>
        <w:gridCol w:w="1345"/>
        <w:gridCol w:w="1345"/>
        <w:gridCol w:w="1345"/>
        <w:gridCol w:w="1345"/>
        <w:gridCol w:w="1345"/>
      </w:tblGrid>
      <w:tr>
        <w:trPr>
          <w:tblHeader w:val="true"/>
        </w:trPr>
        <w:tc>
          <w:tcPr>
            <w:tcW w:type="dxa" w:w="1928"/>
            <w:tcBorders>
              <w:top w:val="nil"/>
              <w:left w:val="nil"/>
              <w:bottom w:val="single" w:sz="8" w:color="15233B"/>
              <w:right w:val="nil"/>
            </w:tcBorders>
          </w:tcPr>
          <w:p>
            <w:pPr>
              <w:spacing w:after="40" w:before="40"/>
              <w:jc w:val="left"/>
            </w:pPr>
            <w:r>
              <w:rPr>
                <w:rFonts w:ascii="Calibri" w:hAnsi="Calibri" w:eastAsia="Calibri" w:cs="Arial"/>
                <w:b w:val="0"/>
                <w:i w:val="0"/>
                <w:color w:val="7D879B"/>
                <w:sz w:val="15"/>
              </w:rPr>
            </w:r>
          </w:p>
        </w:tc>
        <w:tc>
          <w:tcPr>
            <w:tcW w:type="dxa" w:w="1191"/>
            <w:tcBorders>
              <w:top w:val="nil"/>
              <w:left w:val="nil"/>
              <w:bottom w:val="single" w:sz="8" w:color="15233B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 w:val="0"/>
                <w:i w:val="0"/>
                <w:color w:val="7D879B"/>
                <w:sz w:val="15"/>
              </w:rPr>
              <w:t>Q1 27</w:t>
            </w:r>
          </w:p>
        </w:tc>
        <w:tc>
          <w:tcPr>
            <w:tcW w:type="dxa" w:w="1191"/>
            <w:tcBorders>
              <w:top w:val="nil"/>
              <w:left w:val="nil"/>
              <w:bottom w:val="single" w:sz="8" w:color="15233B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 w:val="0"/>
                <w:i w:val="0"/>
                <w:color w:val="7D879B"/>
                <w:sz w:val="15"/>
              </w:rPr>
              <w:t>Q2 27</w:t>
            </w:r>
          </w:p>
        </w:tc>
        <w:tc>
          <w:tcPr>
            <w:tcW w:type="dxa" w:w="1191"/>
            <w:tcBorders>
              <w:top w:val="nil"/>
              <w:left w:val="nil"/>
              <w:bottom w:val="single" w:sz="8" w:color="15233B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 w:val="0"/>
                <w:i w:val="0"/>
                <w:color w:val="7D879B"/>
                <w:sz w:val="15"/>
              </w:rPr>
              <w:t>Q3 27</w:t>
            </w:r>
          </w:p>
        </w:tc>
        <w:tc>
          <w:tcPr>
            <w:tcW w:type="dxa" w:w="1191"/>
            <w:tcBorders>
              <w:top w:val="nil"/>
              <w:left w:val="nil"/>
              <w:bottom w:val="single" w:sz="8" w:color="15233B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 w:val="0"/>
                <w:i w:val="0"/>
                <w:color w:val="7D879B"/>
                <w:sz w:val="15"/>
              </w:rPr>
              <w:t>Q4 27</w:t>
            </w:r>
          </w:p>
        </w:tc>
        <w:tc>
          <w:tcPr>
            <w:tcW w:type="dxa" w:w="1191"/>
            <w:tcBorders>
              <w:top w:val="nil"/>
              <w:left w:val="nil"/>
              <w:bottom w:val="single" w:sz="8" w:color="15233B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 w:val="0"/>
                <w:i w:val="0"/>
                <w:color w:val="7D879B"/>
                <w:sz w:val="15"/>
              </w:rPr>
              <w:t>Q1 28</w:t>
            </w:r>
          </w:p>
        </w:tc>
        <w:tc>
          <w:tcPr>
            <w:tcW w:type="dxa" w:w="1191"/>
            <w:tcBorders>
              <w:top w:val="nil"/>
              <w:left w:val="nil"/>
              <w:bottom w:val="single" w:sz="8" w:color="15233B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 w:val="0"/>
                <w:i w:val="0"/>
                <w:color w:val="7D879B"/>
                <w:sz w:val="15"/>
              </w:rPr>
              <w:t>Q2 28</w:t>
            </w:r>
          </w:p>
        </w:tc>
      </w:tr>
      <w:tr>
        <w:trPr>
          <w:cantSplit w:val="true"/>
        </w:trPr>
        <w:tc>
          <w:tcPr>
            <w:tcW w:type="dxa" w:w="1928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left"/>
            </w:pPr>
            <w:r>
              <w:rPr>
                <w:rFonts w:ascii="Calibri" w:hAnsi="Calibri" w:eastAsia="Calibri" w:cs="Arial"/>
                <w:b w:val="0"/>
                <w:i w:val="0"/>
                <w:color w:val="15233B"/>
                <w:sz w:val="17"/>
              </w:rPr>
              <w:t>Operations</w:t>
            </w:r>
          </w:p>
        </w:tc>
        <w:tc>
          <w:tcPr>
            <w:tcW w:type="dxa" w:w="1191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 w:val="0"/>
                <w:i w:val="0"/>
                <w:color w:val="15233B"/>
                <w:sz w:val="17"/>
              </w:rPr>
              <w:t>(18.5)</w:t>
            </w:r>
          </w:p>
        </w:tc>
        <w:tc>
          <w:tcPr>
            <w:tcW w:type="dxa" w:w="1191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 w:val="0"/>
                <w:i w:val="0"/>
                <w:color w:val="15233B"/>
                <w:sz w:val="17"/>
              </w:rPr>
              <w:t>(3.6)</w:t>
            </w:r>
          </w:p>
        </w:tc>
        <w:tc>
          <w:tcPr>
            <w:tcW w:type="dxa" w:w="1191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 w:val="0"/>
                <w:i w:val="0"/>
                <w:color w:val="15233B"/>
                <w:sz w:val="17"/>
              </w:rPr>
              <w:t>1.0</w:t>
            </w:r>
          </w:p>
        </w:tc>
        <w:tc>
          <w:tcPr>
            <w:tcW w:type="dxa" w:w="1191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 w:val="0"/>
                <w:i w:val="0"/>
                <w:color w:val="15233B"/>
                <w:sz w:val="17"/>
              </w:rPr>
              <w:t>5.3</w:t>
            </w:r>
          </w:p>
        </w:tc>
        <w:tc>
          <w:tcPr>
            <w:tcW w:type="dxa" w:w="1191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 w:val="0"/>
                <w:i w:val="0"/>
                <w:color w:val="15233B"/>
                <w:sz w:val="17"/>
              </w:rPr>
              <w:t>9.0</w:t>
            </w:r>
          </w:p>
        </w:tc>
        <w:tc>
          <w:tcPr>
            <w:tcW w:type="dxa" w:w="1191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 w:val="0"/>
                <w:i w:val="0"/>
                <w:color w:val="15233B"/>
                <w:sz w:val="17"/>
              </w:rPr>
              <w:t>11.6</w:t>
            </w:r>
          </w:p>
        </w:tc>
      </w:tr>
      <w:tr>
        <w:trPr>
          <w:cantSplit w:val="true"/>
        </w:trPr>
        <w:tc>
          <w:tcPr>
            <w:tcW w:type="dxa" w:w="1928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left"/>
            </w:pPr>
            <w:r>
              <w:rPr>
                <w:rFonts w:ascii="Calibri" w:hAnsi="Calibri" w:eastAsia="Calibri" w:cs="Arial"/>
                <w:b w:val="0"/>
                <w:i w:val="0"/>
                <w:color w:val="15233B"/>
                <w:sz w:val="17"/>
              </w:rPr>
              <w:t>Investment</w:t>
            </w:r>
          </w:p>
        </w:tc>
        <w:tc>
          <w:tcPr>
            <w:tcW w:type="dxa" w:w="1191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 w:val="0"/>
                <w:i w:val="0"/>
                <w:color w:val="15233B"/>
                <w:sz w:val="17"/>
              </w:rPr>
              <w:t>(40.0)</w:t>
            </w:r>
          </w:p>
        </w:tc>
        <w:tc>
          <w:tcPr>
            <w:tcW w:type="dxa" w:w="1191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 w:val="0"/>
                <w:i w:val="0"/>
                <w:color w:val="15233B"/>
                <w:sz w:val="17"/>
              </w:rPr>
              <w:t>–</w:t>
            </w:r>
          </w:p>
        </w:tc>
        <w:tc>
          <w:tcPr>
            <w:tcW w:type="dxa" w:w="1191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 w:val="0"/>
                <w:i w:val="0"/>
                <w:color w:val="15233B"/>
                <w:sz w:val="17"/>
              </w:rPr>
              <w:t>–</w:t>
            </w:r>
          </w:p>
        </w:tc>
        <w:tc>
          <w:tcPr>
            <w:tcW w:type="dxa" w:w="1191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 w:val="0"/>
                <w:i w:val="0"/>
                <w:color w:val="15233B"/>
                <w:sz w:val="17"/>
              </w:rPr>
              <w:t>–</w:t>
            </w:r>
          </w:p>
        </w:tc>
        <w:tc>
          <w:tcPr>
            <w:tcW w:type="dxa" w:w="1191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 w:val="0"/>
                <w:i w:val="0"/>
                <w:color w:val="15233B"/>
                <w:sz w:val="17"/>
              </w:rPr>
              <w:t>–</w:t>
            </w:r>
          </w:p>
        </w:tc>
        <w:tc>
          <w:tcPr>
            <w:tcW w:type="dxa" w:w="1191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 w:val="0"/>
                <w:i w:val="0"/>
                <w:color w:val="15233B"/>
                <w:sz w:val="17"/>
              </w:rPr>
              <w:t>–</w:t>
            </w:r>
          </w:p>
        </w:tc>
      </w:tr>
      <w:tr>
        <w:trPr>
          <w:cantSplit w:val="true"/>
        </w:trPr>
        <w:tc>
          <w:tcPr>
            <w:tcW w:type="dxa" w:w="1928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left"/>
            </w:pPr>
            <w:r>
              <w:rPr>
                <w:rFonts w:ascii="Calibri" w:hAnsi="Calibri" w:eastAsia="Calibri" w:cs="Arial"/>
                <w:b w:val="0"/>
                <w:i w:val="0"/>
                <w:color w:val="15233B"/>
                <w:sz w:val="17"/>
              </w:rPr>
              <w:t>Financing</w:t>
            </w:r>
          </w:p>
        </w:tc>
        <w:tc>
          <w:tcPr>
            <w:tcW w:type="dxa" w:w="1191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 w:val="0"/>
                <w:i w:val="0"/>
                <w:color w:val="15233B"/>
                <w:sz w:val="17"/>
              </w:rPr>
              <w:t>106.5</w:t>
            </w:r>
          </w:p>
        </w:tc>
        <w:tc>
          <w:tcPr>
            <w:tcW w:type="dxa" w:w="1191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 w:val="0"/>
                <w:i w:val="0"/>
                <w:color w:val="15233B"/>
                <w:sz w:val="17"/>
              </w:rPr>
              <w:t>(3.5)</w:t>
            </w:r>
          </w:p>
        </w:tc>
        <w:tc>
          <w:tcPr>
            <w:tcW w:type="dxa" w:w="1191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 w:val="0"/>
                <w:i w:val="0"/>
                <w:color w:val="15233B"/>
                <w:sz w:val="17"/>
              </w:rPr>
              <w:t>(3.5)</w:t>
            </w:r>
          </w:p>
        </w:tc>
        <w:tc>
          <w:tcPr>
            <w:tcW w:type="dxa" w:w="1191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 w:val="0"/>
                <w:i w:val="0"/>
                <w:color w:val="15233B"/>
                <w:sz w:val="17"/>
              </w:rPr>
              <w:t>(3.5)</w:t>
            </w:r>
          </w:p>
        </w:tc>
        <w:tc>
          <w:tcPr>
            <w:tcW w:type="dxa" w:w="1191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 w:val="0"/>
                <w:i w:val="0"/>
                <w:color w:val="15233B"/>
                <w:sz w:val="17"/>
              </w:rPr>
              <w:t>(3.5)</w:t>
            </w:r>
          </w:p>
        </w:tc>
        <w:tc>
          <w:tcPr>
            <w:tcW w:type="dxa" w:w="1191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 w:val="0"/>
                <w:i w:val="0"/>
                <w:color w:val="15233B"/>
                <w:sz w:val="17"/>
              </w:rPr>
              <w:t>(3.5)</w:t>
            </w:r>
          </w:p>
        </w:tc>
      </w:tr>
      <w:tr>
        <w:trPr>
          <w:cantSplit w:val="true"/>
        </w:trPr>
        <w:tc>
          <w:tcPr>
            <w:tcW w:type="dxa" w:w="1928"/>
            <w:shd w:val="clear" w:color="auto" w:fill="E8F3EE"/>
            <w:tcBorders>
              <w:top w:val="nil"/>
              <w:left w:val="nil"/>
              <w:bottom w:val="single" w:sz="8" w:color="15233B"/>
              <w:right w:val="nil"/>
            </w:tcBorders>
          </w:tcPr>
          <w:p>
            <w:pPr>
              <w:spacing w:after="40" w:before="40"/>
              <w:jc w:val="left"/>
            </w:pPr>
            <w:r>
              <w:rPr>
                <w:rFonts w:ascii="Calibri" w:hAnsi="Calibri" w:eastAsia="Calibri" w:cs="Arial"/>
                <w:b/>
                <w:i w:val="0"/>
                <w:color w:val="15233B"/>
                <w:sz w:val="17"/>
              </w:rPr>
              <w:t>Closing cash</w:t>
            </w:r>
          </w:p>
        </w:tc>
        <w:tc>
          <w:tcPr>
            <w:tcW w:type="dxa" w:w="1191"/>
            <w:shd w:val="clear" w:color="auto" w:fill="E8F3EE"/>
            <w:tcBorders>
              <w:top w:val="nil"/>
              <w:left w:val="nil"/>
              <w:bottom w:val="single" w:sz="8" w:color="15233B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/>
                <w:i w:val="0"/>
                <w:color w:val="15233B"/>
                <w:sz w:val="17"/>
              </w:rPr>
              <w:t>48.0</w:t>
            </w:r>
          </w:p>
        </w:tc>
        <w:tc>
          <w:tcPr>
            <w:tcW w:type="dxa" w:w="1191"/>
            <w:shd w:val="clear" w:color="auto" w:fill="E8F3EE"/>
            <w:tcBorders>
              <w:top w:val="nil"/>
              <w:left w:val="nil"/>
              <w:bottom w:val="single" w:sz="8" w:color="15233B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/>
                <w:i w:val="0"/>
                <w:color w:val="15233B"/>
                <w:sz w:val="17"/>
              </w:rPr>
              <w:t>41.0</w:t>
            </w:r>
          </w:p>
        </w:tc>
        <w:tc>
          <w:tcPr>
            <w:tcW w:type="dxa" w:w="1191"/>
            <w:shd w:val="clear" w:color="auto" w:fill="E8F3EE"/>
            <w:tcBorders>
              <w:top w:val="nil"/>
              <w:left w:val="nil"/>
              <w:bottom w:val="single" w:sz="8" w:color="15233B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/>
                <w:i w:val="0"/>
                <w:color w:val="15233B"/>
                <w:sz w:val="17"/>
              </w:rPr>
              <w:t>38.5</w:t>
            </w:r>
          </w:p>
        </w:tc>
        <w:tc>
          <w:tcPr>
            <w:tcW w:type="dxa" w:w="1191"/>
            <w:shd w:val="clear" w:color="auto" w:fill="E8F3EE"/>
            <w:tcBorders>
              <w:top w:val="nil"/>
              <w:left w:val="nil"/>
              <w:bottom w:val="single" w:sz="8" w:color="15233B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/>
                <w:i w:val="0"/>
                <w:color w:val="15233B"/>
                <w:sz w:val="17"/>
              </w:rPr>
              <w:t>40.4</w:t>
            </w:r>
          </w:p>
        </w:tc>
        <w:tc>
          <w:tcPr>
            <w:tcW w:type="dxa" w:w="1191"/>
            <w:shd w:val="clear" w:color="auto" w:fill="E8F3EE"/>
            <w:tcBorders>
              <w:top w:val="nil"/>
              <w:left w:val="nil"/>
              <w:bottom w:val="single" w:sz="8" w:color="15233B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/>
                <w:i w:val="0"/>
                <w:color w:val="15233B"/>
                <w:sz w:val="17"/>
              </w:rPr>
              <w:t>45.9</w:t>
            </w:r>
          </w:p>
        </w:tc>
        <w:tc>
          <w:tcPr>
            <w:tcW w:type="dxa" w:w="1191"/>
            <w:shd w:val="clear" w:color="auto" w:fill="E8F3EE"/>
            <w:tcBorders>
              <w:top w:val="nil"/>
              <w:left w:val="nil"/>
              <w:bottom w:val="single" w:sz="8" w:color="15233B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/>
                <w:i w:val="0"/>
                <w:color w:val="15233B"/>
                <w:sz w:val="17"/>
              </w:rPr>
              <w:t>54.0</w:t>
            </w:r>
          </w:p>
        </w:tc>
      </w:tr>
    </w:tbl>
    <w:p>
      <w:pPr>
        <w:spacing w:after="80" w:before="0" w:line="276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345"/>
        <w:gridCol w:w="1345"/>
        <w:gridCol w:w="1345"/>
        <w:gridCol w:w="1345"/>
        <w:gridCol w:w="1345"/>
        <w:gridCol w:w="1345"/>
        <w:gridCol w:w="1345"/>
      </w:tblGrid>
      <w:tr>
        <w:trPr>
          <w:tblHeader w:val="true"/>
        </w:trPr>
        <w:tc>
          <w:tcPr>
            <w:tcW w:type="dxa" w:w="1928"/>
            <w:tcBorders>
              <w:top w:val="nil"/>
              <w:left w:val="nil"/>
              <w:bottom w:val="single" w:sz="8" w:color="15233B"/>
              <w:right w:val="nil"/>
            </w:tcBorders>
          </w:tcPr>
          <w:p>
            <w:pPr>
              <w:spacing w:after="40" w:before="40"/>
              <w:jc w:val="left"/>
            </w:pPr>
            <w:r>
              <w:rPr>
                <w:rFonts w:ascii="Calibri" w:hAnsi="Calibri" w:eastAsia="Calibri" w:cs="Arial"/>
                <w:b w:val="0"/>
                <w:i w:val="0"/>
                <w:color w:val="7D879B"/>
                <w:sz w:val="15"/>
              </w:rPr>
            </w:r>
          </w:p>
        </w:tc>
        <w:tc>
          <w:tcPr>
            <w:tcW w:type="dxa" w:w="1191"/>
            <w:tcBorders>
              <w:top w:val="nil"/>
              <w:left w:val="nil"/>
              <w:bottom w:val="single" w:sz="8" w:color="15233B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 w:val="0"/>
                <w:i w:val="0"/>
                <w:color w:val="7D879B"/>
                <w:sz w:val="15"/>
              </w:rPr>
              <w:t>Q3 28</w:t>
            </w:r>
          </w:p>
        </w:tc>
        <w:tc>
          <w:tcPr>
            <w:tcW w:type="dxa" w:w="1191"/>
            <w:tcBorders>
              <w:top w:val="nil"/>
              <w:left w:val="nil"/>
              <w:bottom w:val="single" w:sz="8" w:color="15233B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 w:val="0"/>
                <w:i w:val="0"/>
                <w:color w:val="7D879B"/>
                <w:sz w:val="15"/>
              </w:rPr>
              <w:t>Q4 28</w:t>
            </w:r>
          </w:p>
        </w:tc>
        <w:tc>
          <w:tcPr>
            <w:tcW w:type="dxa" w:w="1191"/>
            <w:tcBorders>
              <w:top w:val="nil"/>
              <w:left w:val="nil"/>
              <w:bottom w:val="single" w:sz="8" w:color="15233B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 w:val="0"/>
                <w:i w:val="0"/>
                <w:color w:val="7D879B"/>
                <w:sz w:val="15"/>
              </w:rPr>
              <w:t>Q1 29</w:t>
            </w:r>
          </w:p>
        </w:tc>
        <w:tc>
          <w:tcPr>
            <w:tcW w:type="dxa" w:w="1191"/>
            <w:tcBorders>
              <w:top w:val="nil"/>
              <w:left w:val="nil"/>
              <w:bottom w:val="single" w:sz="8" w:color="15233B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 w:val="0"/>
                <w:i w:val="0"/>
                <w:color w:val="7D879B"/>
                <w:sz w:val="15"/>
              </w:rPr>
              <w:t>Q2 29</w:t>
            </w:r>
          </w:p>
        </w:tc>
        <w:tc>
          <w:tcPr>
            <w:tcW w:type="dxa" w:w="1191"/>
            <w:tcBorders>
              <w:top w:val="nil"/>
              <w:left w:val="nil"/>
              <w:bottom w:val="single" w:sz="8" w:color="15233B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 w:val="0"/>
                <w:i w:val="0"/>
                <w:color w:val="7D879B"/>
                <w:sz w:val="15"/>
              </w:rPr>
              <w:t>Q3 29</w:t>
            </w:r>
          </w:p>
        </w:tc>
        <w:tc>
          <w:tcPr>
            <w:tcW w:type="dxa" w:w="1191"/>
            <w:tcBorders>
              <w:top w:val="nil"/>
              <w:left w:val="nil"/>
              <w:bottom w:val="single" w:sz="8" w:color="15233B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 w:val="0"/>
                <w:i w:val="0"/>
                <w:color w:val="7D879B"/>
                <w:sz w:val="15"/>
              </w:rPr>
              <w:t>Q4 29</w:t>
            </w:r>
          </w:p>
        </w:tc>
      </w:tr>
      <w:tr>
        <w:trPr>
          <w:cantSplit w:val="true"/>
        </w:trPr>
        <w:tc>
          <w:tcPr>
            <w:tcW w:type="dxa" w:w="1928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left"/>
            </w:pPr>
            <w:r>
              <w:rPr>
                <w:rFonts w:ascii="Calibri" w:hAnsi="Calibri" w:eastAsia="Calibri" w:cs="Arial"/>
                <w:b w:val="0"/>
                <w:i w:val="0"/>
                <w:color w:val="15233B"/>
                <w:sz w:val="17"/>
              </w:rPr>
              <w:t>Operations</w:t>
            </w:r>
          </w:p>
        </w:tc>
        <w:tc>
          <w:tcPr>
            <w:tcW w:type="dxa" w:w="1191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 w:val="0"/>
                <w:i w:val="0"/>
                <w:color w:val="15233B"/>
                <w:sz w:val="17"/>
              </w:rPr>
              <w:t>14.3</w:t>
            </w:r>
          </w:p>
        </w:tc>
        <w:tc>
          <w:tcPr>
            <w:tcW w:type="dxa" w:w="1191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 w:val="0"/>
                <w:i w:val="0"/>
                <w:color w:val="15233B"/>
                <w:sz w:val="17"/>
              </w:rPr>
              <w:t>17.2</w:t>
            </w:r>
          </w:p>
        </w:tc>
        <w:tc>
          <w:tcPr>
            <w:tcW w:type="dxa" w:w="1191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 w:val="0"/>
                <w:i w:val="0"/>
                <w:color w:val="15233B"/>
                <w:sz w:val="17"/>
              </w:rPr>
              <w:t>19.5</w:t>
            </w:r>
          </w:p>
        </w:tc>
        <w:tc>
          <w:tcPr>
            <w:tcW w:type="dxa" w:w="1191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 w:val="0"/>
                <w:i w:val="0"/>
                <w:color w:val="15233B"/>
                <w:sz w:val="17"/>
              </w:rPr>
              <w:t>21.1</w:t>
            </w:r>
          </w:p>
        </w:tc>
        <w:tc>
          <w:tcPr>
            <w:tcW w:type="dxa" w:w="1191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 w:val="0"/>
                <w:i w:val="0"/>
                <w:color w:val="15233B"/>
                <w:sz w:val="17"/>
              </w:rPr>
              <w:t>22.7</w:t>
            </w:r>
          </w:p>
        </w:tc>
        <w:tc>
          <w:tcPr>
            <w:tcW w:type="dxa" w:w="1191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 w:val="0"/>
                <w:i w:val="0"/>
                <w:color w:val="15233B"/>
                <w:sz w:val="17"/>
              </w:rPr>
              <w:t>24.4</w:t>
            </w:r>
          </w:p>
        </w:tc>
      </w:tr>
      <w:tr>
        <w:trPr>
          <w:cantSplit w:val="true"/>
        </w:trPr>
        <w:tc>
          <w:tcPr>
            <w:tcW w:type="dxa" w:w="1928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left"/>
            </w:pPr>
            <w:r>
              <w:rPr>
                <w:rFonts w:ascii="Calibri" w:hAnsi="Calibri" w:eastAsia="Calibri" w:cs="Arial"/>
                <w:b w:val="0"/>
                <w:i w:val="0"/>
                <w:color w:val="15233B"/>
                <w:sz w:val="17"/>
              </w:rPr>
              <w:t>Investment</w:t>
            </w:r>
          </w:p>
        </w:tc>
        <w:tc>
          <w:tcPr>
            <w:tcW w:type="dxa" w:w="1191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 w:val="0"/>
                <w:i w:val="0"/>
                <w:color w:val="15233B"/>
                <w:sz w:val="17"/>
              </w:rPr>
              <w:t>–</w:t>
            </w:r>
          </w:p>
        </w:tc>
        <w:tc>
          <w:tcPr>
            <w:tcW w:type="dxa" w:w="1191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 w:val="0"/>
                <w:i w:val="0"/>
                <w:color w:val="15233B"/>
                <w:sz w:val="17"/>
              </w:rPr>
              <w:t>–</w:t>
            </w:r>
          </w:p>
        </w:tc>
        <w:tc>
          <w:tcPr>
            <w:tcW w:type="dxa" w:w="1191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 w:val="0"/>
                <w:i w:val="0"/>
                <w:color w:val="15233B"/>
                <w:sz w:val="17"/>
              </w:rPr>
              <w:t>–</w:t>
            </w:r>
          </w:p>
        </w:tc>
        <w:tc>
          <w:tcPr>
            <w:tcW w:type="dxa" w:w="1191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 w:val="0"/>
                <w:i w:val="0"/>
                <w:color w:val="15233B"/>
                <w:sz w:val="17"/>
              </w:rPr>
              <w:t>–</w:t>
            </w:r>
          </w:p>
        </w:tc>
        <w:tc>
          <w:tcPr>
            <w:tcW w:type="dxa" w:w="1191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 w:val="0"/>
                <w:i w:val="0"/>
                <w:color w:val="15233B"/>
                <w:sz w:val="17"/>
              </w:rPr>
              <w:t>–</w:t>
            </w:r>
          </w:p>
        </w:tc>
        <w:tc>
          <w:tcPr>
            <w:tcW w:type="dxa" w:w="1191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 w:val="0"/>
                <w:i w:val="0"/>
                <w:color w:val="15233B"/>
                <w:sz w:val="17"/>
              </w:rPr>
              <w:t>–</w:t>
            </w:r>
          </w:p>
        </w:tc>
      </w:tr>
      <w:tr>
        <w:trPr>
          <w:cantSplit w:val="true"/>
        </w:trPr>
        <w:tc>
          <w:tcPr>
            <w:tcW w:type="dxa" w:w="1928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left"/>
            </w:pPr>
            <w:r>
              <w:rPr>
                <w:rFonts w:ascii="Calibri" w:hAnsi="Calibri" w:eastAsia="Calibri" w:cs="Arial"/>
                <w:b w:val="0"/>
                <w:i w:val="0"/>
                <w:color w:val="15233B"/>
                <w:sz w:val="17"/>
              </w:rPr>
              <w:t>Financing</w:t>
            </w:r>
          </w:p>
        </w:tc>
        <w:tc>
          <w:tcPr>
            <w:tcW w:type="dxa" w:w="1191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 w:val="0"/>
                <w:i w:val="0"/>
                <w:color w:val="15233B"/>
                <w:sz w:val="17"/>
              </w:rPr>
              <w:t>(3.5)</w:t>
            </w:r>
          </w:p>
        </w:tc>
        <w:tc>
          <w:tcPr>
            <w:tcW w:type="dxa" w:w="1191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 w:val="0"/>
                <w:i w:val="0"/>
                <w:color w:val="15233B"/>
                <w:sz w:val="17"/>
              </w:rPr>
              <w:t>(3.5)</w:t>
            </w:r>
          </w:p>
        </w:tc>
        <w:tc>
          <w:tcPr>
            <w:tcW w:type="dxa" w:w="1191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 w:val="0"/>
                <w:i w:val="0"/>
                <w:color w:val="15233B"/>
                <w:sz w:val="17"/>
              </w:rPr>
              <w:t>(3.5)</w:t>
            </w:r>
          </w:p>
        </w:tc>
        <w:tc>
          <w:tcPr>
            <w:tcW w:type="dxa" w:w="1191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 w:val="0"/>
                <w:i w:val="0"/>
                <w:color w:val="15233B"/>
                <w:sz w:val="17"/>
              </w:rPr>
              <w:t>(3.5)</w:t>
            </w:r>
          </w:p>
        </w:tc>
        <w:tc>
          <w:tcPr>
            <w:tcW w:type="dxa" w:w="1191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 w:val="0"/>
                <w:i w:val="0"/>
                <w:color w:val="15233B"/>
                <w:sz w:val="17"/>
              </w:rPr>
              <w:t>(3.5)</w:t>
            </w:r>
          </w:p>
        </w:tc>
        <w:tc>
          <w:tcPr>
            <w:tcW w:type="dxa" w:w="1191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 w:val="0"/>
                <w:i w:val="0"/>
                <w:color w:val="15233B"/>
                <w:sz w:val="17"/>
              </w:rPr>
              <w:t>(3.5)</w:t>
            </w:r>
          </w:p>
        </w:tc>
      </w:tr>
      <w:tr>
        <w:trPr>
          <w:cantSplit w:val="true"/>
        </w:trPr>
        <w:tc>
          <w:tcPr>
            <w:tcW w:type="dxa" w:w="1928"/>
            <w:shd w:val="clear" w:color="auto" w:fill="E8F3EE"/>
            <w:tcBorders>
              <w:top w:val="nil"/>
              <w:left w:val="nil"/>
              <w:bottom w:val="single" w:sz="8" w:color="15233B"/>
              <w:right w:val="nil"/>
            </w:tcBorders>
          </w:tcPr>
          <w:p>
            <w:pPr>
              <w:spacing w:after="40" w:before="40"/>
              <w:jc w:val="left"/>
            </w:pPr>
            <w:r>
              <w:rPr>
                <w:rFonts w:ascii="Calibri" w:hAnsi="Calibri" w:eastAsia="Calibri" w:cs="Arial"/>
                <w:b/>
                <w:i w:val="0"/>
                <w:color w:val="15233B"/>
                <w:sz w:val="17"/>
              </w:rPr>
              <w:t>Closing cash</w:t>
            </w:r>
          </w:p>
        </w:tc>
        <w:tc>
          <w:tcPr>
            <w:tcW w:type="dxa" w:w="1191"/>
            <w:shd w:val="clear" w:color="auto" w:fill="E8F3EE"/>
            <w:tcBorders>
              <w:top w:val="nil"/>
              <w:left w:val="nil"/>
              <w:bottom w:val="single" w:sz="8" w:color="15233B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/>
                <w:i w:val="0"/>
                <w:color w:val="15233B"/>
                <w:sz w:val="17"/>
              </w:rPr>
              <w:t>64.8</w:t>
            </w:r>
          </w:p>
        </w:tc>
        <w:tc>
          <w:tcPr>
            <w:tcW w:type="dxa" w:w="1191"/>
            <w:shd w:val="clear" w:color="auto" w:fill="E8F3EE"/>
            <w:tcBorders>
              <w:top w:val="nil"/>
              <w:left w:val="nil"/>
              <w:bottom w:val="single" w:sz="8" w:color="15233B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/>
                <w:i w:val="0"/>
                <w:color w:val="15233B"/>
                <w:sz w:val="17"/>
              </w:rPr>
              <w:t>78.5</w:t>
            </w:r>
          </w:p>
        </w:tc>
        <w:tc>
          <w:tcPr>
            <w:tcW w:type="dxa" w:w="1191"/>
            <w:shd w:val="clear" w:color="auto" w:fill="E8F3EE"/>
            <w:tcBorders>
              <w:top w:val="nil"/>
              <w:left w:val="nil"/>
              <w:bottom w:val="single" w:sz="8" w:color="15233B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/>
                <w:i w:val="0"/>
                <w:color w:val="15233B"/>
                <w:sz w:val="17"/>
              </w:rPr>
              <w:t>94.5</w:t>
            </w:r>
          </w:p>
        </w:tc>
        <w:tc>
          <w:tcPr>
            <w:tcW w:type="dxa" w:w="1191"/>
            <w:shd w:val="clear" w:color="auto" w:fill="E8F3EE"/>
            <w:tcBorders>
              <w:top w:val="nil"/>
              <w:left w:val="nil"/>
              <w:bottom w:val="single" w:sz="8" w:color="15233B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/>
                <w:i w:val="0"/>
                <w:color w:val="15233B"/>
                <w:sz w:val="17"/>
              </w:rPr>
              <w:t>112.1</w:t>
            </w:r>
          </w:p>
        </w:tc>
        <w:tc>
          <w:tcPr>
            <w:tcW w:type="dxa" w:w="1191"/>
            <w:shd w:val="clear" w:color="auto" w:fill="E8F3EE"/>
            <w:tcBorders>
              <w:top w:val="nil"/>
              <w:left w:val="nil"/>
              <w:bottom w:val="single" w:sz="8" w:color="15233B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/>
                <w:i w:val="0"/>
                <w:color w:val="15233B"/>
                <w:sz w:val="17"/>
              </w:rPr>
              <w:t>131.3</w:t>
            </w:r>
          </w:p>
        </w:tc>
        <w:tc>
          <w:tcPr>
            <w:tcW w:type="dxa" w:w="1191"/>
            <w:shd w:val="clear" w:color="auto" w:fill="E8F3EE"/>
            <w:tcBorders>
              <w:top w:val="nil"/>
              <w:left w:val="nil"/>
              <w:bottom w:val="single" w:sz="8" w:color="15233B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/>
                <w:i w:val="0"/>
                <w:color w:val="15233B"/>
                <w:sz w:val="17"/>
              </w:rPr>
              <w:t>152.2</w:t>
            </w:r>
          </w:p>
        </w:tc>
      </w:tr>
    </w:tbl>
    <w:p>
      <w:pPr>
        <w:spacing w:after="80" w:before="0" w:line="276" w:lineRule="auto"/>
      </w:pPr>
    </w:p>
    <w:p>
      <w:pPr>
        <w:pStyle w:val="Heading2"/>
        <w:keepNext/>
        <w:spacing w:before="240" w:after="120"/>
      </w:pPr>
      <w:r>
        <w:rPr>
          <w:rFonts w:ascii="Calibri" w:hAnsi="Calibri" w:eastAsia="Calibri" w:cs="Arial"/>
          <w:b/>
          <w:i w:val="0"/>
          <w:color w:val="15233B"/>
          <w:sz w:val="25"/>
        </w:rPr>
        <w:t>By year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blHeader w:val="true"/>
        </w:trPr>
        <w:tc>
          <w:tcPr>
            <w:tcW w:type="dxa" w:w="4649"/>
            <w:tcBorders>
              <w:top w:val="nil"/>
              <w:left w:val="nil"/>
              <w:bottom w:val="single" w:sz="8" w:color="15233B"/>
              <w:right w:val="nil"/>
            </w:tcBorders>
          </w:tcPr>
          <w:p>
            <w:pPr>
              <w:spacing w:after="40" w:before="40"/>
              <w:jc w:val="left"/>
            </w:pPr>
            <w:r>
              <w:rPr>
                <w:rFonts w:ascii="Calibri" w:hAnsi="Calibri" w:eastAsia="Calibri" w:cs="Arial"/>
                <w:b w:val="0"/>
                <w:i w:val="0"/>
                <w:color w:val="7D879B"/>
                <w:sz w:val="16"/>
              </w:rPr>
              <w:t>In GBP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8" w:color="15233B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 w:val="0"/>
                <w:i w:val="0"/>
                <w:color w:val="7D879B"/>
                <w:sz w:val="16"/>
              </w:rPr>
              <w:t>Year 1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8" w:color="15233B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 w:val="0"/>
                <w:i w:val="0"/>
                <w:color w:val="7D879B"/>
                <w:sz w:val="16"/>
              </w:rPr>
              <w:t>Year 2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8" w:color="15233B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 w:val="0"/>
                <w:i w:val="0"/>
                <w:color w:val="7D879B"/>
                <w:sz w:val="16"/>
              </w:rPr>
              <w:t>Year 3</w:t>
            </w:r>
          </w:p>
        </w:tc>
      </w:tr>
      <w:tr>
        <w:trPr>
          <w:cantSplit w:val="true"/>
        </w:trPr>
        <w:tc>
          <w:tcPr>
            <w:tcW w:type="dxa" w:w="4649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left"/>
            </w:pPr>
            <w:r>
              <w:rPr>
                <w:rFonts w:ascii="Calibri" w:hAnsi="Calibri" w:eastAsia="Calibri" w:cs="Arial"/>
                <w:b w:val="0"/>
                <w:i w:val="0"/>
                <w:color w:val="15233B"/>
                <w:sz w:val="18"/>
              </w:rPr>
              <w:t>Operating cash flow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 w:val="0"/>
                <w:i w:val="0"/>
                <w:color w:val="15233B"/>
                <w:sz w:val="18"/>
              </w:rPr>
              <w:t>(15,724)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 w:val="0"/>
                <w:i w:val="0"/>
                <w:color w:val="15233B"/>
                <w:sz w:val="18"/>
              </w:rPr>
              <w:t>52,109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 w:val="0"/>
                <w:i w:val="0"/>
                <w:color w:val="15233B"/>
                <w:sz w:val="18"/>
              </w:rPr>
              <w:t>87,586</w:t>
            </w:r>
          </w:p>
        </w:tc>
      </w:tr>
      <w:tr>
        <w:trPr>
          <w:cantSplit w:val="true"/>
        </w:trPr>
        <w:tc>
          <w:tcPr>
            <w:tcW w:type="dxa" w:w="4649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left"/>
            </w:pPr>
            <w:r>
              <w:rPr>
                <w:rFonts w:ascii="Calibri" w:hAnsi="Calibri" w:eastAsia="Calibri" w:cs="Arial"/>
                <w:b w:val="0"/>
                <w:i w:val="0"/>
                <w:color w:val="15233B"/>
                <w:sz w:val="18"/>
              </w:rPr>
              <w:t>Start-up investment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 w:val="0"/>
                <w:i w:val="0"/>
                <w:color w:val="15233B"/>
                <w:sz w:val="18"/>
              </w:rPr>
              <w:t>(40,000)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 w:val="0"/>
                <w:i w:val="0"/>
                <w:color w:val="15233B"/>
                <w:sz w:val="18"/>
              </w:rPr>
              <w:t>–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 w:val="0"/>
                <w:i w:val="0"/>
                <w:color w:val="15233B"/>
                <w:sz w:val="18"/>
              </w:rPr>
              <w:t>–</w:t>
            </w:r>
          </w:p>
        </w:tc>
      </w:tr>
      <w:tr>
        <w:trPr>
          <w:cantSplit w:val="true"/>
        </w:trPr>
        <w:tc>
          <w:tcPr>
            <w:tcW w:type="dxa" w:w="4649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left"/>
            </w:pPr>
            <w:r>
              <w:rPr>
                <w:rFonts w:ascii="Calibri" w:hAnsi="Calibri" w:eastAsia="Calibri" w:cs="Arial"/>
                <w:b w:val="0"/>
                <w:i w:val="0"/>
                <w:color w:val="15233B"/>
                <w:sz w:val="18"/>
              </w:rPr>
              <w:t>Financing cash flow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 w:val="0"/>
                <w:i w:val="0"/>
                <w:color w:val="15233B"/>
                <w:sz w:val="18"/>
              </w:rPr>
              <w:t>96,080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 w:val="0"/>
                <w:i w:val="0"/>
                <w:color w:val="15233B"/>
                <w:sz w:val="18"/>
              </w:rPr>
              <w:t>(13,920)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 w:val="0"/>
                <w:i w:val="0"/>
                <w:color w:val="15233B"/>
                <w:sz w:val="18"/>
              </w:rPr>
              <w:t>(13,920)</w:t>
            </w:r>
          </w:p>
        </w:tc>
      </w:tr>
      <w:tr>
        <w:trPr>
          <w:cantSplit w:val="true"/>
        </w:trPr>
        <w:tc>
          <w:tcPr>
            <w:tcW w:type="dxa" w:w="4649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left"/>
            </w:pPr>
            <w:r>
              <w:rPr>
                <w:rFonts w:ascii="Calibri" w:hAnsi="Calibri" w:eastAsia="Calibri" w:cs="Arial"/>
                <w:b/>
                <w:i w:val="0"/>
                <w:color w:val="15233B"/>
                <w:sz w:val="18"/>
              </w:rPr>
              <w:t>Change in cash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/>
                <w:i w:val="0"/>
                <w:color w:val="15233B"/>
                <w:sz w:val="18"/>
              </w:rPr>
              <w:t>40,357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/>
                <w:i w:val="0"/>
                <w:color w:val="15233B"/>
                <w:sz w:val="18"/>
              </w:rPr>
              <w:t>38,189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/>
                <w:i w:val="0"/>
                <w:color w:val="15233B"/>
                <w:sz w:val="18"/>
              </w:rPr>
              <w:t>73,666</w:t>
            </w:r>
          </w:p>
        </w:tc>
      </w:tr>
      <w:tr>
        <w:trPr>
          <w:cantSplit w:val="true"/>
        </w:trPr>
        <w:tc>
          <w:tcPr>
            <w:tcW w:type="dxa" w:w="4649"/>
            <w:shd w:val="clear" w:color="auto" w:fill="E8F3EE"/>
            <w:tcBorders>
              <w:top w:val="nil"/>
              <w:left w:val="nil"/>
              <w:bottom w:val="single" w:sz="8" w:color="15233B"/>
              <w:right w:val="nil"/>
            </w:tcBorders>
          </w:tcPr>
          <w:p>
            <w:pPr>
              <w:spacing w:after="40" w:before="40"/>
              <w:jc w:val="left"/>
            </w:pPr>
            <w:r>
              <w:rPr>
                <w:rFonts w:ascii="Calibri" w:hAnsi="Calibri" w:eastAsia="Calibri" w:cs="Arial"/>
                <w:b/>
                <w:i w:val="0"/>
                <w:color w:val="15233B"/>
                <w:sz w:val="18"/>
              </w:rPr>
              <w:t>Cash at year end</w:t>
            </w:r>
          </w:p>
        </w:tc>
        <w:tc>
          <w:tcPr>
            <w:tcW w:type="dxa" w:w="1474"/>
            <w:shd w:val="clear" w:color="auto" w:fill="E8F3EE"/>
            <w:tcBorders>
              <w:top w:val="nil"/>
              <w:left w:val="nil"/>
              <w:bottom w:val="single" w:sz="8" w:color="15233B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/>
                <w:i w:val="0"/>
                <w:color w:val="15233B"/>
                <w:sz w:val="18"/>
              </w:rPr>
              <w:t>40,357</w:t>
            </w:r>
          </w:p>
        </w:tc>
        <w:tc>
          <w:tcPr>
            <w:tcW w:type="dxa" w:w="1474"/>
            <w:shd w:val="clear" w:color="auto" w:fill="E8F3EE"/>
            <w:tcBorders>
              <w:top w:val="nil"/>
              <w:left w:val="nil"/>
              <w:bottom w:val="single" w:sz="8" w:color="15233B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/>
                <w:i w:val="0"/>
                <w:color w:val="15233B"/>
                <w:sz w:val="18"/>
              </w:rPr>
              <w:t>78,546</w:t>
            </w:r>
          </w:p>
        </w:tc>
        <w:tc>
          <w:tcPr>
            <w:tcW w:type="dxa" w:w="1474"/>
            <w:shd w:val="clear" w:color="auto" w:fill="E8F3EE"/>
            <w:tcBorders>
              <w:top w:val="nil"/>
              <w:left w:val="nil"/>
              <w:bottom w:val="single" w:sz="8" w:color="15233B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/>
                <w:i w:val="0"/>
                <w:color w:val="15233B"/>
                <w:sz w:val="18"/>
              </w:rPr>
              <w:t>152,212</w:t>
            </w:r>
          </w:p>
        </w:tc>
      </w:tr>
    </w:tbl>
    <w:p>
      <w:pPr>
        <w:spacing w:after="80" w:before="0" w:line="276" w:lineRule="auto"/>
      </w:pPr>
    </w:p>
    <w:p>
      <w:r>
        <w:br w:type="page"/>
      </w:r>
    </w:p>
    <w:p>
      <w:pPr>
        <w:pStyle w:val="Heading1"/>
        <w:keepNext/>
        <w:spacing w:before="0" w:after="120"/>
      </w:pPr>
      <w:r>
        <w:rPr>
          <w:rFonts w:ascii="Georgia" w:hAnsi="Georgia" w:eastAsia="Georgia" w:cs="Arial"/>
          <w:b w:val="0"/>
          <w:i w:val="0"/>
          <w:color w:val="15233B"/>
          <w:sz w:val="44"/>
        </w:rPr>
        <w:t>Funding and break-even</w:t>
      </w:r>
    </w:p>
    <w:p>
      <w:pPr>
        <w:spacing w:after="240" w:before="0" w:line="276" w:lineRule="auto"/>
      </w:pPr>
      <w:r>
        <w:rPr>
          <w:rFonts w:ascii="Calibri" w:hAnsi="Calibri" w:eastAsia="Calibri" w:cs="Arial"/>
          <w:b w:val="0"/>
          <w:i w:val="0"/>
          <w:color w:val="4A5772"/>
          <w:sz w:val="21"/>
        </w:rPr>
        <w:t>What must be funded at the start, with what, and from when the business covers all its costs on its own.</w:t>
      </w:r>
    </w:p>
    <w:p>
      <w:pPr>
        <w:pStyle w:val="Heading2"/>
        <w:keepNext/>
        <w:spacing w:before="240" w:after="120"/>
      </w:pPr>
      <w:r>
        <w:rPr>
          <w:rFonts w:ascii="Calibri" w:hAnsi="Calibri" w:eastAsia="Calibri" w:cs="Arial"/>
          <w:b/>
          <w:i w:val="0"/>
          <w:color w:val="15233B"/>
          <w:sz w:val="25"/>
        </w:rPr>
        <w:t>Needs and resources (surplus of £48k)</w:t>
      </w:r>
    </w:p>
    <w:p>
      <w:pPr>
        <w:spacing w:after="120"/>
        <w:jc w:val="center"/>
      </w:pPr>
      <w:r>
        <w:drawing>
          <wp:inline xmlns:a="http://schemas.openxmlformats.org/drawingml/2006/main" xmlns:pic="http://schemas.openxmlformats.org/drawingml/2006/picture">
            <wp:extent cx="5580000" cy="2285143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und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2285143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blHeader w:val="true"/>
        </w:trPr>
        <w:tc>
          <w:tcPr>
            <w:tcW w:type="dxa" w:w="4649"/>
            <w:tcBorders>
              <w:top w:val="nil"/>
              <w:left w:val="nil"/>
              <w:bottom w:val="single" w:sz="8" w:color="15233B"/>
              <w:right w:val="nil"/>
            </w:tcBorders>
          </w:tcPr>
          <w:p>
            <w:pPr>
              <w:spacing w:after="40" w:before="40"/>
              <w:jc w:val="left"/>
            </w:pPr>
            <w:r>
              <w:rPr>
                <w:rFonts w:ascii="Calibri" w:hAnsi="Calibri" w:eastAsia="Calibri" w:cs="Arial"/>
                <w:b w:val="0"/>
                <w:i w:val="0"/>
                <w:color w:val="7D879B"/>
                <w:sz w:val="15"/>
              </w:rPr>
              <w:t>Loan of £60k over 60 months at 6.0%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8" w:color="15233B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 w:val="0"/>
                <w:i w:val="0"/>
                <w:color w:val="7D879B"/>
                <w:sz w:val="15"/>
              </w:rPr>
              <w:t>Year 1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8" w:color="15233B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 w:val="0"/>
                <w:i w:val="0"/>
                <w:color w:val="7D879B"/>
                <w:sz w:val="15"/>
              </w:rPr>
              <w:t>Year 2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8" w:color="15233B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 w:val="0"/>
                <w:i w:val="0"/>
                <w:color w:val="7D879B"/>
                <w:sz w:val="15"/>
              </w:rPr>
              <w:t>Year 3</w:t>
            </w:r>
          </w:p>
        </w:tc>
      </w:tr>
      <w:tr>
        <w:trPr>
          <w:cantSplit w:val="true"/>
        </w:trPr>
        <w:tc>
          <w:tcPr>
            <w:tcW w:type="dxa" w:w="4649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left"/>
            </w:pPr>
            <w:r>
              <w:rPr>
                <w:rFonts w:ascii="Calibri" w:hAnsi="Calibri" w:eastAsia="Calibri" w:cs="Arial"/>
                <w:b w:val="0"/>
                <w:i w:val="0"/>
                <w:color w:val="15233B"/>
                <w:sz w:val="17"/>
              </w:rPr>
              <w:t>Interest paid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 w:val="0"/>
                <w:i w:val="0"/>
                <w:color w:val="15233B"/>
                <w:sz w:val="17"/>
              </w:rPr>
              <w:t>3,311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 w:val="0"/>
                <w:i w:val="0"/>
                <w:color w:val="15233B"/>
                <w:sz w:val="17"/>
              </w:rPr>
              <w:t>2,657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 w:val="0"/>
                <w:i w:val="0"/>
                <w:color w:val="15233B"/>
                <w:sz w:val="17"/>
              </w:rPr>
              <w:t>1,962</w:t>
            </w:r>
          </w:p>
        </w:tc>
      </w:tr>
      <w:tr>
        <w:trPr>
          <w:cantSplit w:val="true"/>
        </w:trPr>
        <w:tc>
          <w:tcPr>
            <w:tcW w:type="dxa" w:w="4649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left"/>
            </w:pPr>
            <w:r>
              <w:rPr>
                <w:rFonts w:ascii="Calibri" w:hAnsi="Calibri" w:eastAsia="Calibri" w:cs="Arial"/>
                <w:b w:val="0"/>
                <w:i w:val="0"/>
                <w:color w:val="15233B"/>
                <w:sz w:val="17"/>
              </w:rPr>
              <w:t>Principal repaid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 w:val="0"/>
                <w:i w:val="0"/>
                <w:color w:val="15233B"/>
                <w:sz w:val="17"/>
              </w:rPr>
              <w:t>10,608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 w:val="0"/>
                <w:i w:val="0"/>
                <w:color w:val="15233B"/>
                <w:sz w:val="17"/>
              </w:rPr>
              <w:t>11,262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 w:val="0"/>
                <w:i w:val="0"/>
                <w:color w:val="15233B"/>
                <w:sz w:val="17"/>
              </w:rPr>
              <w:t>11,957</w:t>
            </w:r>
          </w:p>
        </w:tc>
      </w:tr>
      <w:tr>
        <w:trPr>
          <w:cantSplit w:val="true"/>
        </w:trPr>
        <w:tc>
          <w:tcPr>
            <w:tcW w:type="dxa" w:w="4649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left"/>
            </w:pPr>
            <w:r>
              <w:rPr>
                <w:rFonts w:ascii="Calibri" w:hAnsi="Calibri" w:eastAsia="Calibri" w:cs="Arial"/>
                <w:b/>
                <w:i w:val="0"/>
                <w:color w:val="15233B"/>
                <w:sz w:val="17"/>
              </w:rPr>
              <w:t>Outstanding principal at year end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/>
                <w:i w:val="0"/>
                <w:color w:val="15233B"/>
                <w:sz w:val="17"/>
              </w:rPr>
              <w:t>49,392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/>
                <w:i w:val="0"/>
                <w:color w:val="15233B"/>
                <w:sz w:val="17"/>
              </w:rPr>
              <w:t>38,129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/>
                <w:i w:val="0"/>
                <w:color w:val="15233B"/>
                <w:sz w:val="17"/>
              </w:rPr>
              <w:t>26,172</w:t>
            </w:r>
          </w:p>
        </w:tc>
      </w:tr>
    </w:tbl>
    <w:p>
      <w:pPr>
        <w:spacing w:after="80" w:before="0" w:line="276" w:lineRule="auto"/>
      </w:pPr>
    </w:p>
    <w:p>
      <w:pPr>
        <w:spacing w:after="200" w:before="0" w:line="276" w:lineRule="auto"/>
      </w:pPr>
      <w:r>
        <w:rPr>
          <w:rFonts w:ascii="Calibri" w:hAnsi="Calibri" w:eastAsia="Calibri" w:cs="Arial"/>
          <w:b w:val="0"/>
          <w:i w:val="0"/>
          <w:color w:val="7D879B"/>
          <w:sz w:val="17"/>
        </w:rPr>
        <w:t>Fixed monthly instalment: £1,160.</w:t>
      </w:r>
    </w:p>
    <w:p>
      <w:pPr>
        <w:pStyle w:val="Heading2"/>
        <w:keepNext/>
        <w:spacing w:before="240" w:after="120"/>
      </w:pPr>
      <w:r>
        <w:rPr>
          <w:rFonts w:ascii="Calibri" w:hAnsi="Calibri" w:eastAsia="Calibri" w:cs="Arial"/>
          <w:b/>
          <w:i w:val="0"/>
          <w:color w:val="15233B"/>
          <w:sz w:val="25"/>
        </w:rPr>
        <w:t>When sales cover all costs</w:t>
      </w:r>
    </w:p>
    <w:p>
      <w:pPr>
        <w:spacing w:after="120"/>
        <w:jc w:val="center"/>
      </w:pPr>
      <w:r>
        <w:drawing>
          <wp:inline xmlns:a="http://schemas.openxmlformats.org/drawingml/2006/main" xmlns:pic="http://schemas.openxmlformats.org/drawingml/2006/picture">
            <wp:extent cx="5400000" cy="2251996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m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251996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blHeader w:val="true"/>
        </w:trPr>
        <w:tc>
          <w:tcPr>
            <w:tcW w:type="dxa" w:w="4649"/>
            <w:tcBorders>
              <w:top w:val="nil"/>
              <w:left w:val="nil"/>
              <w:bottom w:val="single" w:sz="8" w:color="15233B"/>
              <w:right w:val="nil"/>
            </w:tcBorders>
          </w:tcPr>
          <w:p>
            <w:pPr>
              <w:spacing w:after="40" w:before="40"/>
              <w:jc w:val="left"/>
            </w:pPr>
            <w:r>
              <w:rPr>
                <w:rFonts w:ascii="Calibri" w:hAnsi="Calibri" w:eastAsia="Calibri" w:cs="Arial"/>
                <w:b w:val="0"/>
                <w:i w:val="0"/>
                <w:color w:val="7D879B"/>
                <w:sz w:val="15"/>
              </w:rPr>
              <w:t>Break-even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8" w:color="15233B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 w:val="0"/>
                <w:i w:val="0"/>
                <w:color w:val="7D879B"/>
                <w:sz w:val="15"/>
              </w:rPr>
              <w:t>Year 1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8" w:color="15233B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 w:val="0"/>
                <w:i w:val="0"/>
                <w:color w:val="7D879B"/>
                <w:sz w:val="15"/>
              </w:rPr>
              <w:t>Year 2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8" w:color="15233B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 w:val="0"/>
                <w:i w:val="0"/>
                <w:color w:val="7D879B"/>
                <w:sz w:val="15"/>
              </w:rPr>
              <w:t>Year 3</w:t>
            </w:r>
          </w:p>
        </w:tc>
      </w:tr>
      <w:tr>
        <w:trPr>
          <w:cantSplit w:val="true"/>
        </w:trPr>
        <w:tc>
          <w:tcPr>
            <w:tcW w:type="dxa" w:w="4649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left"/>
            </w:pPr>
            <w:r>
              <w:rPr>
                <w:rFonts w:ascii="Calibri" w:hAnsi="Calibri" w:eastAsia="Calibri" w:cs="Arial"/>
                <w:b w:val="0"/>
                <w:i w:val="0"/>
                <w:color w:val="15233B"/>
                <w:sz w:val="17"/>
              </w:rPr>
              <w:t>Fixed costs to cover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 w:val="0"/>
                <w:i w:val="0"/>
                <w:color w:val="15233B"/>
                <w:sz w:val="17"/>
              </w:rPr>
              <w:t>176,311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 w:val="0"/>
                <w:i w:val="0"/>
                <w:color w:val="15233B"/>
                <w:sz w:val="17"/>
              </w:rPr>
              <w:t>177,457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 w:val="0"/>
                <w:i w:val="0"/>
                <w:color w:val="15233B"/>
                <w:sz w:val="17"/>
              </w:rPr>
              <w:t>178,616</w:t>
            </w:r>
          </w:p>
        </w:tc>
      </w:tr>
      <w:tr>
        <w:trPr>
          <w:cantSplit w:val="true"/>
        </w:trPr>
        <w:tc>
          <w:tcPr>
            <w:tcW w:type="dxa" w:w="4649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left"/>
            </w:pPr>
            <w:r>
              <w:rPr>
                <w:rFonts w:ascii="Calibri" w:hAnsi="Calibri" w:eastAsia="Calibri" w:cs="Arial"/>
                <w:b w:val="0"/>
                <w:i w:val="0"/>
                <w:color w:val="15233B"/>
                <w:sz w:val="17"/>
              </w:rPr>
              <w:t>Annual break-even revenue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 w:val="0"/>
                <w:i w:val="0"/>
                <w:color w:val="15233B"/>
                <w:sz w:val="17"/>
              </w:rPr>
              <w:t>284,373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 w:val="0"/>
                <w:i w:val="0"/>
                <w:color w:val="15233B"/>
                <w:sz w:val="17"/>
              </w:rPr>
              <w:t>286,221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 w:val="0"/>
                <w:i w:val="0"/>
                <w:color w:val="15233B"/>
                <w:sz w:val="17"/>
              </w:rPr>
              <w:t>288,091</w:t>
            </w:r>
          </w:p>
        </w:tc>
      </w:tr>
      <w:tr>
        <w:trPr>
          <w:cantSplit w:val="true"/>
        </w:trPr>
        <w:tc>
          <w:tcPr>
            <w:tcW w:type="dxa" w:w="4649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left"/>
            </w:pPr>
            <w:r>
              <w:rPr>
                <w:rFonts w:ascii="Calibri" w:hAnsi="Calibri" w:eastAsia="Calibri" w:cs="Arial"/>
                <w:b/>
                <w:i w:val="0"/>
                <w:color w:val="15233B"/>
                <w:sz w:val="17"/>
              </w:rPr>
              <w:t>Margin of safety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/>
                <w:i w:val="0"/>
                <w:color w:val="15233B"/>
                <w:sz w:val="17"/>
              </w:rPr>
              <w:t>−5.0%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/>
                <w:i w:val="0"/>
                <w:color w:val="15233B"/>
                <w:sz w:val="17"/>
              </w:rPr>
              <w:t>24.0%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4" w:color="E3E7EE"/>
              <w:right w:val="nil"/>
            </w:tcBorders>
          </w:tcPr>
          <w:p>
            <w:pPr>
              <w:spacing w:after="40" w:before="40"/>
              <w:jc w:val="right"/>
            </w:pPr>
            <w:r>
              <w:rPr>
                <w:rFonts w:ascii="Calibri" w:hAnsi="Calibri" w:eastAsia="Calibri" w:cs="Arial"/>
                <w:b/>
                <w:i w:val="0"/>
                <w:color w:val="15233B"/>
                <w:sz w:val="17"/>
              </w:rPr>
              <w:t>36.0%</w:t>
            </w:r>
          </w:p>
        </w:tc>
      </w:tr>
    </w:tbl>
    <w:p>
      <w:pPr>
        <w:spacing w:after="80" w:before="0" w:line="276" w:lineRule="auto"/>
      </w:pPr>
    </w:p>
    <w:p>
      <w:r>
        <w:br w:type="page"/>
      </w:r>
    </w:p>
    <w:p>
      <w:pPr>
        <w:pStyle w:val="Heading1"/>
        <w:keepNext/>
        <w:spacing w:before="0" w:after="120"/>
      </w:pPr>
      <w:r>
        <w:rPr>
          <w:rFonts w:ascii="Georgia" w:hAnsi="Georgia" w:eastAsia="Georgia" w:cs="Arial"/>
          <w:b w:val="0"/>
          <w:i w:val="0"/>
          <w:color w:val="15233B"/>
          <w:sz w:val="44"/>
        </w:rPr>
        <w:t>Sensitivity of the plan</w:t>
      </w:r>
    </w:p>
    <w:p>
      <w:pPr>
        <w:spacing w:after="240" w:before="0" w:line="276" w:lineRule="auto"/>
      </w:pPr>
      <w:r>
        <w:rPr>
          <w:rFonts w:ascii="Calibri" w:hAnsi="Calibri" w:eastAsia="Calibri" w:cs="Arial"/>
          <w:b w:val="0"/>
          <w:i w:val="0"/>
          <w:color w:val="4A5772"/>
          <w:sz w:val="21"/>
        </w:rPr>
        <w:t>Each line changes a single assumption and reruns the 1,540 formulas of the workbook. The grey bar shows the downside case, the green bar the upside.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4535"/>
          </w:tcPr>
          <w:p>
            <w:r>
              <w:rPr>
                <w:rFonts w:ascii="Calibri" w:hAnsi="Calibri" w:eastAsia="Calibri" w:cs="Arial"/>
                <w:b/>
                <w:i w:val="0"/>
                <w:color w:val="15233B"/>
                <w:sz w:val="20"/>
              </w:rPr>
              <w:t>Cumulative net profit over 3 years</w:t>
            </w:r>
          </w:p>
        </w:tc>
        <w:tc>
          <w:tcPr>
            <w:tcW w:type="dxa" w:w="4535"/>
          </w:tcPr>
          <w:p>
            <w:r>
              <w:rPr>
                <w:rFonts w:ascii="Calibri" w:hAnsi="Calibri" w:eastAsia="Calibri" w:cs="Arial"/>
                <w:b/>
                <w:i w:val="0"/>
                <w:color w:val="15233B"/>
                <w:sz w:val="20"/>
              </w:rPr>
              <w:t>Lowest cash balance</w:t>
            </w:r>
          </w:p>
        </w:tc>
      </w:tr>
      <w:tr>
        <w:tc>
          <w:tcPr>
            <w:tcW w:type="dxa" w:w="4535"/>
          </w:tcPr>
          <w:p>
            <w:r>
              <w:drawing>
                <wp:inline xmlns:a="http://schemas.openxmlformats.org/drawingml/2006/main" xmlns:pic="http://schemas.openxmlformats.org/drawingml/2006/picture">
                  <wp:extent cx="2808000" cy="1590522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or_rn_cumul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8000" cy="159052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535"/>
          </w:tcPr>
          <w:p>
            <w:r>
              <w:drawing>
                <wp:inline xmlns:a="http://schemas.openxmlformats.org/drawingml/2006/main" xmlns:pic="http://schemas.openxmlformats.org/drawingml/2006/picture">
                  <wp:extent cx="2808000" cy="1590522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or_treso_min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8000" cy="159052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0" w:line="276" w:lineRule="auto"/>
      </w:pPr>
    </w:p>
    <w:p>
      <w:pPr>
        <w:pStyle w:val="Heading2"/>
        <w:keepNext/>
        <w:spacing w:before="240" w:after="120"/>
      </w:pPr>
      <w:r>
        <w:rPr>
          <w:rFonts w:ascii="Calibri" w:hAnsi="Calibri" w:eastAsia="Calibri" w:cs="Arial"/>
          <w:b/>
          <w:i w:val="0"/>
          <w:color w:val="15233B"/>
          <w:sz w:val="25"/>
        </w:rPr>
        <w:t>Largest downside changes</w:t>
      </w:r>
    </w:p>
    <w:p>
      <w:pPr>
        <w:spacing w:after="80" w:before="0" w:line="276" w:lineRule="auto"/>
      </w:pPr>
      <w:r>
        <w:rPr>
          <w:rFonts w:ascii="Calibri" w:hAnsi="Calibri" w:eastAsia="Calibri" w:cs="Arial"/>
          <w:b/>
          <w:i w:val="0"/>
          <w:color w:val="0F7A59"/>
          <w:sz w:val="20"/>
        </w:rPr>
        <w:t xml:space="preserve">1.  </w:t>
      </w:r>
      <w:r>
        <w:rPr>
          <w:rFonts w:ascii="Calibri" w:hAnsi="Calibri" w:eastAsia="Calibri" w:cs="Arial"/>
          <w:b/>
          <w:i w:val="0"/>
          <w:color w:val="15233B"/>
          <w:sz w:val="20"/>
        </w:rPr>
        <w:t>Average price −10%</w:t>
      </w:r>
      <w:r>
        <w:rPr>
          <w:rFonts w:ascii="Calibri" w:hAnsi="Calibri" w:eastAsia="Calibri" w:cs="Arial"/>
          <w:b w:val="0"/>
          <w:i w:val="0"/>
          <w:color w:val="15233B"/>
          <w:sz w:val="20"/>
        </w:rPr>
        <w:t>: cumulative net profit down £57k, lowest cash at £26k.</w:t>
      </w:r>
    </w:p>
    <w:p>
      <w:pPr>
        <w:spacing w:after="80" w:before="0" w:line="276" w:lineRule="auto"/>
      </w:pPr>
      <w:r>
        <w:rPr>
          <w:rFonts w:ascii="Calibri" w:hAnsi="Calibri" w:eastAsia="Calibri" w:cs="Arial"/>
          <w:b/>
          <w:i w:val="0"/>
          <w:color w:val="0F7A59"/>
          <w:sz w:val="20"/>
        </w:rPr>
        <w:t xml:space="preserve">2.  </w:t>
      </w:r>
      <w:r>
        <w:rPr>
          <w:rFonts w:ascii="Calibri" w:hAnsi="Calibri" w:eastAsia="Calibri" w:cs="Arial"/>
          <w:b/>
          <w:i w:val="0"/>
          <w:color w:val="15233B"/>
          <w:sz w:val="20"/>
        </w:rPr>
        <w:t>Year-1 growth −1 pt</w:t>
      </w:r>
      <w:r>
        <w:rPr>
          <w:rFonts w:ascii="Calibri" w:hAnsi="Calibri" w:eastAsia="Calibri" w:cs="Arial"/>
          <w:b w:val="0"/>
          <w:i w:val="0"/>
          <w:color w:val="15233B"/>
          <w:sz w:val="20"/>
        </w:rPr>
        <w:t>: cumulative net profit down £50k, lowest cash at £34k.</w:t>
      </w:r>
    </w:p>
    <w:p>
      <w:pPr>
        <w:spacing w:after="80" w:before="0" w:line="276" w:lineRule="auto"/>
      </w:pPr>
      <w:r>
        <w:rPr>
          <w:rFonts w:ascii="Calibri" w:hAnsi="Calibri" w:eastAsia="Calibri" w:cs="Arial"/>
          <w:b/>
          <w:i w:val="0"/>
          <w:color w:val="0F7A59"/>
          <w:sz w:val="20"/>
        </w:rPr>
        <w:t xml:space="preserve">3.  </w:t>
      </w:r>
      <w:r>
        <w:rPr>
          <w:rFonts w:ascii="Calibri" w:hAnsi="Calibri" w:eastAsia="Calibri" w:cs="Arial"/>
          <w:b/>
          <w:i w:val="0"/>
          <w:color w:val="15233B"/>
          <w:sz w:val="20"/>
        </w:rPr>
        <w:t>Variable costs +3 pts</w:t>
      </w:r>
      <w:r>
        <w:rPr>
          <w:rFonts w:ascii="Calibri" w:hAnsi="Calibri" w:eastAsia="Calibri" w:cs="Arial"/>
          <w:b w:val="0"/>
          <w:i w:val="0"/>
          <w:color w:val="15233B"/>
          <w:sz w:val="20"/>
        </w:rPr>
        <w:t>: cumulative net profit down £27k, lowest cash at £33k.</w:t>
      </w:r>
    </w:p>
    <w:p>
      <w:pPr>
        <w:spacing w:after="80" w:before="0" w:line="276" w:lineRule="auto"/>
      </w:pPr>
      <w:r>
        <w:rPr>
          <w:rFonts w:ascii="Calibri" w:hAnsi="Calibri" w:eastAsia="Calibri" w:cs="Arial"/>
          <w:b/>
          <w:i w:val="0"/>
          <w:color w:val="0F7A59"/>
          <w:sz w:val="20"/>
        </w:rPr>
        <w:t xml:space="preserve">4.  </w:t>
      </w:r>
      <w:r>
        <w:rPr>
          <w:rFonts w:ascii="Calibri" w:hAnsi="Calibri" w:eastAsia="Calibri" w:cs="Arial"/>
          <w:b/>
          <w:i w:val="0"/>
          <w:color w:val="15233B"/>
          <w:sz w:val="20"/>
        </w:rPr>
        <w:t>Customers paying 30 days later</w:t>
      </w:r>
      <w:r>
        <w:rPr>
          <w:rFonts w:ascii="Calibri" w:hAnsi="Calibri" w:eastAsia="Calibri" w:cs="Arial"/>
          <w:b w:val="0"/>
          <w:i w:val="0"/>
          <w:color w:val="15233B"/>
          <w:sz w:val="20"/>
        </w:rPr>
        <w:t>: no effect on profit, but cash falls to £13k.</w:t>
      </w:r>
    </w:p>
    <w:p>
      <w:pPr>
        <w:pStyle w:val="Heading2"/>
        <w:keepNext/>
        <w:spacing w:before="240" w:after="120"/>
      </w:pPr>
      <w:r>
        <w:rPr>
          <w:rFonts w:ascii="Calibri" w:hAnsi="Calibri" w:eastAsia="Calibri" w:cs="Arial"/>
          <w:b/>
          <w:i w:val="0"/>
          <w:color w:val="15233B"/>
          <w:sz w:val="25"/>
        </w:rPr>
        <w:t>Largest upside changes</w:t>
      </w:r>
    </w:p>
    <w:p>
      <w:pPr>
        <w:spacing w:after="80" w:before="0" w:line="276" w:lineRule="auto"/>
      </w:pPr>
      <w:r>
        <w:rPr>
          <w:rFonts w:ascii="Calibri" w:hAnsi="Calibri" w:eastAsia="Calibri" w:cs="Arial"/>
          <w:b/>
          <w:i w:val="0"/>
          <w:color w:val="0F7A59"/>
          <w:sz w:val="20"/>
        </w:rPr>
        <w:t xml:space="preserve">1.  </w:t>
      </w:r>
      <w:r>
        <w:rPr>
          <w:rFonts w:ascii="Calibri" w:hAnsi="Calibri" w:eastAsia="Calibri" w:cs="Arial"/>
          <w:b/>
          <w:i w:val="0"/>
          <w:color w:val="15233B"/>
          <w:sz w:val="20"/>
        </w:rPr>
        <w:t>Average price +10%</w:t>
      </w:r>
      <w:r>
        <w:rPr>
          <w:rFonts w:ascii="Calibri" w:hAnsi="Calibri" w:eastAsia="Calibri" w:cs="Arial"/>
          <w:b w:val="0"/>
          <w:i w:val="0"/>
          <w:color w:val="15233B"/>
          <w:sz w:val="20"/>
        </w:rPr>
        <w:t>: +£56k of cumulative net profit, lowest cash at £47k.</w:t>
      </w:r>
    </w:p>
    <w:p>
      <w:pPr>
        <w:spacing w:after="80" w:before="0" w:line="276" w:lineRule="auto"/>
      </w:pPr>
      <w:r>
        <w:rPr>
          <w:rFonts w:ascii="Calibri" w:hAnsi="Calibri" w:eastAsia="Calibri" w:cs="Arial"/>
          <w:b/>
          <w:i w:val="0"/>
          <w:color w:val="0F7A59"/>
          <w:sz w:val="20"/>
        </w:rPr>
        <w:t xml:space="preserve">2.  </w:t>
      </w:r>
      <w:r>
        <w:rPr>
          <w:rFonts w:ascii="Calibri" w:hAnsi="Calibri" w:eastAsia="Calibri" w:cs="Arial"/>
          <w:b/>
          <w:i w:val="0"/>
          <w:color w:val="15233B"/>
          <w:sz w:val="20"/>
        </w:rPr>
        <w:t>Year-1 growth +1 pt</w:t>
      </w:r>
      <w:r>
        <w:rPr>
          <w:rFonts w:ascii="Calibri" w:hAnsi="Calibri" w:eastAsia="Calibri" w:cs="Arial"/>
          <w:b w:val="0"/>
          <w:i w:val="0"/>
          <w:color w:val="15233B"/>
          <w:sz w:val="20"/>
        </w:rPr>
        <w:t>: +£54k of cumulative net profit, lowest cash at £41k.</w:t>
      </w:r>
    </w:p>
    <w:p>
      <w:pPr>
        <w:spacing w:after="80" w:before="0" w:line="276" w:lineRule="auto"/>
      </w:pPr>
      <w:r>
        <w:rPr>
          <w:rFonts w:ascii="Calibri" w:hAnsi="Calibri" w:eastAsia="Calibri" w:cs="Arial"/>
          <w:b/>
          <w:i w:val="0"/>
          <w:color w:val="0F7A59"/>
          <w:sz w:val="20"/>
        </w:rPr>
        <w:t xml:space="preserve">3.  </w:t>
      </w:r>
      <w:r>
        <w:rPr>
          <w:rFonts w:ascii="Calibri" w:hAnsi="Calibri" w:eastAsia="Calibri" w:cs="Arial"/>
          <w:b/>
          <w:i w:val="0"/>
          <w:color w:val="15233B"/>
          <w:sz w:val="20"/>
        </w:rPr>
        <w:t>Variable costs −3 pts</w:t>
      </w:r>
      <w:r>
        <w:rPr>
          <w:rFonts w:ascii="Calibri" w:hAnsi="Calibri" w:eastAsia="Calibri" w:cs="Arial"/>
          <w:b w:val="0"/>
          <w:i w:val="0"/>
          <w:color w:val="15233B"/>
          <w:sz w:val="20"/>
        </w:rPr>
        <w:t>: +£27k of cumulative net profit, lowest cash at £43k.</w:t>
      </w:r>
    </w:p>
    <w:p>
      <w:pPr>
        <w:spacing w:after="120" w:before="120" w:line="276" w:lineRule="auto"/>
      </w:pPr>
      <w:r>
        <w:rPr>
          <w:rFonts w:ascii="Calibri" w:hAnsi="Calibri" w:eastAsia="Calibri" w:cs="Arial"/>
          <w:b w:val="0"/>
          <w:i w:val="0"/>
          <w:color w:val="7D879B"/>
          <w:sz w:val="17"/>
        </w:rPr>
        <w:t>Each scenario changes a single assumption; all others stay the same. Base case: cumulative net profit £116,592, lowest cash balance £38,523.</w:t>
      </w:r>
    </w:p>
    <w:p>
      <w:r>
        <w:br w:type="page"/>
      </w:r>
    </w:p>
    <w:p>
      <w:pPr>
        <w:pStyle w:val="Heading1"/>
        <w:keepNext/>
        <w:spacing w:before="0" w:after="120"/>
      </w:pPr>
      <w:r>
        <w:rPr>
          <w:rFonts w:ascii="Georgia" w:hAnsi="Georgia" w:eastAsia="Georgia" w:cs="Arial"/>
          <w:b w:val="0"/>
          <w:i w:val="0"/>
          <w:color w:val="15233B"/>
          <w:sz w:val="44"/>
        </w:rPr>
        <w:t>Method</w:t>
      </w:r>
    </w:p>
    <w:p>
      <w:pPr>
        <w:spacing w:after="240" w:before="0" w:line="276" w:lineRule="auto"/>
      </w:pPr>
      <w:r>
        <w:rPr>
          <w:rFonts w:ascii="Calibri" w:hAnsi="Calibri" w:eastAsia="Calibri" w:cs="Arial"/>
          <w:b w:val="0"/>
          <w:i w:val="0"/>
          <w:color w:val="4A5772"/>
          <w:sz w:val="21"/>
        </w:rPr>
        <w:t>How the figures are calculated, and the limits of the model.</w:t>
      </w:r>
    </w:p>
    <w:p>
      <w:pPr>
        <w:pStyle w:val="Heading2"/>
        <w:keepNext/>
        <w:spacing w:before="240" w:after="120"/>
      </w:pPr>
      <w:r>
        <w:rPr>
          <w:rFonts w:ascii="Calibri" w:hAnsi="Calibri" w:eastAsia="Calibri" w:cs="Arial"/>
          <w:b/>
          <w:i w:val="0"/>
          <w:color w:val="15233B"/>
          <w:sz w:val="25"/>
        </w:rPr>
        <w:t>Model structure</w:t>
      </w:r>
    </w:p>
    <w:p>
      <w:pPr>
        <w:spacing w:after="120" w:before="0" w:line="276" w:lineRule="auto"/>
      </w:pPr>
      <w:r>
        <w:rPr>
          <w:rFonts w:ascii="Calibri" w:hAnsi="Calibri" w:eastAsia="Calibri" w:cs="Arial"/>
          <w:b w:val="0"/>
          <w:i w:val="0"/>
          <w:color w:val="4A5772"/>
          <w:sz w:val="19"/>
        </w:rPr>
        <w:t>The workbook calculates, for each of 36 months, sales, costs, profit, the loan and cash. Annual tables are the sum of the months. Only one sheet takes inputs, Assumptions; the 1,540 formulas do the rest.</w:t>
      </w:r>
    </w:p>
    <w:p>
      <w:pPr>
        <w:pStyle w:val="Heading2"/>
        <w:keepNext/>
        <w:spacing w:before="240" w:after="120"/>
      </w:pPr>
      <w:r>
        <w:rPr>
          <w:rFonts w:ascii="Calibri" w:hAnsi="Calibri" w:eastAsia="Calibri" w:cs="Arial"/>
          <w:b/>
          <w:i w:val="0"/>
          <w:color w:val="15233B"/>
          <w:sz w:val="25"/>
        </w:rPr>
        <w:t>Sales</w:t>
      </w:r>
    </w:p>
    <w:p>
      <w:pPr>
        <w:spacing w:after="120" w:before="0" w:line="276" w:lineRule="auto"/>
      </w:pPr>
      <w:r>
        <w:rPr>
          <w:rFonts w:ascii="Calibri" w:hAnsi="Calibri" w:eastAsia="Calibri" w:cs="Arial"/>
          <w:b w:val="0"/>
          <w:i w:val="0"/>
          <w:color w:val="4A5772"/>
          <w:sz w:val="19"/>
        </w:rPr>
        <w:t>First-month volume, then compound monthly growth, with one rate per year. Revenue is volume multiplied by the average price, excluding tax.</w:t>
      </w:r>
    </w:p>
    <w:p>
      <w:pPr>
        <w:pStyle w:val="Heading2"/>
        <w:keepNext/>
        <w:spacing w:before="240" w:after="120"/>
      </w:pPr>
      <w:r>
        <w:rPr>
          <w:rFonts w:ascii="Calibri" w:hAnsi="Calibri" w:eastAsia="Calibri" w:cs="Arial"/>
          <w:b/>
          <w:i w:val="0"/>
          <w:color w:val="15233B"/>
          <w:sz w:val="25"/>
        </w:rPr>
        <w:t>Costs</w:t>
      </w:r>
    </w:p>
    <w:p>
      <w:pPr>
        <w:spacing w:after="120" w:before="0" w:line="276" w:lineRule="auto"/>
      </w:pPr>
      <w:r>
        <w:rPr>
          <w:rFonts w:ascii="Calibri" w:hAnsi="Calibri" w:eastAsia="Calibri" w:cs="Arial"/>
          <w:b w:val="0"/>
          <w:i w:val="0"/>
          <w:color w:val="4A5772"/>
          <w:sz w:val="19"/>
        </w:rPr>
        <w:t>Variable costs and marketing as a percentage of revenue. Monthly fixed costs raised each year by the increase rate. Gross salaries plus employer payroll taxes. Investment depreciated on a straight-line basis.</w:t>
      </w:r>
    </w:p>
    <w:p>
      <w:pPr>
        <w:pStyle w:val="Heading2"/>
        <w:keepNext/>
        <w:spacing w:before="240" w:after="120"/>
      </w:pPr>
      <w:r>
        <w:rPr>
          <w:rFonts w:ascii="Calibri" w:hAnsi="Calibri" w:eastAsia="Calibri" w:cs="Arial"/>
          <w:b/>
          <w:i w:val="0"/>
          <w:color w:val="15233B"/>
          <w:sz w:val="25"/>
        </w:rPr>
        <w:t>Funding</w:t>
      </w:r>
    </w:p>
    <w:p>
      <w:pPr>
        <w:spacing w:after="120" w:before="0" w:line="276" w:lineRule="auto"/>
      </w:pPr>
      <w:r>
        <w:rPr>
          <w:rFonts w:ascii="Calibri" w:hAnsi="Calibri" w:eastAsia="Calibri" w:cs="Arial"/>
          <w:b w:val="0"/>
          <w:i w:val="0"/>
          <w:color w:val="4A5772"/>
          <w:sz w:val="19"/>
        </w:rPr>
        <w:t>Equity and loan received in the first month. Loan repaid in equal monthly instalments. The funding need is the investment plus the lowest cash point before any funding.</w:t>
      </w:r>
    </w:p>
    <w:p>
      <w:pPr>
        <w:pStyle w:val="Heading2"/>
        <w:keepNext/>
        <w:spacing w:before="240" w:after="120"/>
      </w:pPr>
      <w:r>
        <w:rPr>
          <w:rFonts w:ascii="Calibri" w:hAnsi="Calibri" w:eastAsia="Calibri" w:cs="Arial"/>
          <w:b/>
          <w:i w:val="0"/>
          <w:color w:val="15233B"/>
          <w:sz w:val="25"/>
        </w:rPr>
        <w:t>Cash</w:t>
      </w:r>
    </w:p>
    <w:p>
      <w:pPr>
        <w:spacing w:after="120" w:before="0" w:line="276" w:lineRule="auto"/>
      </w:pPr>
      <w:r>
        <w:rPr>
          <w:rFonts w:ascii="Calibri" w:hAnsi="Calibri" w:eastAsia="Calibri" w:cs="Arial"/>
          <w:b w:val="0"/>
          <w:i w:val="0"/>
          <w:color w:val="4A5772"/>
          <w:sz w:val="19"/>
        </w:rPr>
        <w:t>EBITDA, less tax, adjusted for customer and supplier payment terms, less investment, plus net funding.</w:t>
      </w:r>
    </w:p>
    <w:p>
      <w:pPr>
        <w:pStyle w:val="Heading2"/>
        <w:keepNext/>
        <w:spacing w:before="240" w:after="120"/>
      </w:pPr>
      <w:r>
        <w:rPr>
          <w:rFonts w:ascii="Calibri" w:hAnsi="Calibri" w:eastAsia="Calibri" w:cs="Arial"/>
          <w:b/>
          <w:i w:val="0"/>
          <w:color w:val="15233B"/>
          <w:sz w:val="25"/>
        </w:rPr>
        <w:t>Reading conventions</w:t>
      </w:r>
    </w:p>
    <w:p>
      <w:pPr>
        <w:spacing w:after="120" w:before="0" w:line="276" w:lineRule="auto"/>
      </w:pPr>
      <w:r>
        <w:rPr>
          <w:rFonts w:ascii="Calibri" w:hAnsi="Calibri" w:eastAsia="Calibri" w:cs="Arial"/>
          <w:b w:val="0"/>
          <w:i w:val="0"/>
          <w:color w:val="4A5772"/>
          <w:sz w:val="19"/>
        </w:rPr>
        <w:t>Amounts exclude tax. In the tables, negative amounts are shown in brackets and a dash marks a zero value.</w:t>
      </w:r>
    </w:p>
    <w:p>
      <w:pPr>
        <w:pStyle w:val="Heading2"/>
        <w:keepNext/>
        <w:spacing w:before="240" w:after="120"/>
      </w:pPr>
      <w:r>
        <w:rPr>
          <w:rFonts w:ascii="Calibri" w:hAnsi="Calibri" w:eastAsia="Calibri" w:cs="Arial"/>
          <w:b/>
          <w:i w:val="0"/>
          <w:color w:val="15233B"/>
          <w:sz w:val="25"/>
        </w:rPr>
        <w:t>Limits</w:t>
      </w:r>
    </w:p>
    <w:p>
      <w:pPr>
        <w:spacing w:after="120" w:before="0" w:line="276" w:lineRule="auto"/>
      </w:pPr>
      <w:r>
        <w:rPr>
          <w:rFonts w:ascii="Calibri" w:hAnsi="Calibri" w:eastAsia="Calibri" w:cs="Arial"/>
          <w:b w:val="0"/>
          <w:i w:val="0"/>
          <w:color w:val="4A5772"/>
          <w:sz w:val="19"/>
        </w:rPr>
        <w:t>VAT or sales tax, seasonality, inventory and staggered hiring are not modelled. Tax is a monthly approximation. Amounts are not converted between currencies.</w:t>
      </w:r>
    </w:p>
    <w:p>
      <w:pPr>
        <w:pStyle w:val="Heading2"/>
        <w:keepNext/>
        <w:spacing w:before="240" w:after="120"/>
      </w:pPr>
      <w:r>
        <w:rPr>
          <w:rFonts w:ascii="Calibri" w:hAnsi="Calibri" w:eastAsia="Calibri" w:cs="Arial"/>
          <w:b/>
          <w:i w:val="0"/>
          <w:color w:val="15233B"/>
          <w:sz w:val="25"/>
        </w:rPr>
        <w:t>Glossary</w:t>
      </w:r>
    </w:p>
    <w:p>
      <w:pPr>
        <w:spacing w:after="80" w:before="0" w:line="276" w:lineRule="auto"/>
      </w:pPr>
      <w:r>
        <w:rPr>
          <w:rFonts w:ascii="Calibri" w:hAnsi="Calibri" w:eastAsia="Calibri" w:cs="Arial"/>
          <w:b/>
          <w:i w:val="0"/>
          <w:color w:val="15233B"/>
          <w:sz w:val="19"/>
        </w:rPr>
        <w:t xml:space="preserve">EBITDA: </w:t>
      </w:r>
      <w:r>
        <w:rPr>
          <w:rFonts w:ascii="Calibri" w:hAnsi="Calibri" w:eastAsia="Calibri" w:cs="Arial"/>
          <w:b w:val="0"/>
          <w:i w:val="0"/>
          <w:color w:val="4A5772"/>
          <w:sz w:val="19"/>
        </w:rPr>
        <w:t>Earnings before interest, tax, depreciation and amortisation: what the business generates before depreciation, interest and tax.</w:t>
      </w:r>
    </w:p>
    <w:p>
      <w:pPr>
        <w:spacing w:after="80" w:before="0" w:line="276" w:lineRule="auto"/>
      </w:pPr>
      <w:r>
        <w:rPr>
          <w:rFonts w:ascii="Calibri" w:hAnsi="Calibri" w:eastAsia="Calibri" w:cs="Arial"/>
          <w:b/>
          <w:i w:val="0"/>
          <w:color w:val="15233B"/>
          <w:sz w:val="19"/>
        </w:rPr>
        <w:t xml:space="preserve">Break-even: </w:t>
      </w:r>
      <w:r>
        <w:rPr>
          <w:rFonts w:ascii="Calibri" w:hAnsi="Calibri" w:eastAsia="Calibri" w:cs="Arial"/>
          <w:b w:val="0"/>
          <w:i w:val="0"/>
          <w:color w:val="4A5772"/>
          <w:sz w:val="19"/>
        </w:rPr>
        <w:t>The level of sales at which all costs, fixed and variable, are covered.</w:t>
      </w:r>
    </w:p>
    <w:p>
      <w:pPr>
        <w:spacing w:after="80" w:before="0" w:line="276" w:lineRule="auto"/>
      </w:pPr>
      <w:r>
        <w:rPr>
          <w:rFonts w:ascii="Calibri" w:hAnsi="Calibri" w:eastAsia="Calibri" w:cs="Arial"/>
          <w:b/>
          <w:i w:val="0"/>
          <w:color w:val="15233B"/>
          <w:sz w:val="19"/>
        </w:rPr>
        <w:t xml:space="preserve">Margin of safety: </w:t>
      </w:r>
      <w:r>
        <w:rPr>
          <w:rFonts w:ascii="Calibri" w:hAnsi="Calibri" w:eastAsia="Calibri" w:cs="Arial"/>
          <w:b w:val="0"/>
          <w:i w:val="0"/>
          <w:color w:val="4A5772"/>
          <w:sz w:val="19"/>
        </w:rPr>
        <w:t>The share of revenue above break-even: how far sales can fall before a loss.</w:t>
      </w:r>
    </w:p>
    <w:p>
      <w:pPr>
        <w:spacing w:after="80" w:before="0" w:line="276" w:lineRule="auto"/>
      </w:pPr>
      <w:r>
        <w:rPr>
          <w:rFonts w:ascii="Calibri" w:hAnsi="Calibri" w:eastAsia="Calibri" w:cs="Arial"/>
          <w:b/>
          <w:i w:val="0"/>
          <w:color w:val="15233B"/>
          <w:sz w:val="19"/>
        </w:rPr>
        <w:t xml:space="preserve">Outstanding principal: </w:t>
      </w:r>
      <w:r>
        <w:rPr>
          <w:rFonts w:ascii="Calibri" w:hAnsi="Calibri" w:eastAsia="Calibri" w:cs="Arial"/>
          <w:b w:val="0"/>
          <w:i w:val="0"/>
          <w:color w:val="4A5772"/>
          <w:sz w:val="19"/>
        </w:rPr>
        <w:t>What remains to be repaid on the loan.</w:t>
      </w:r>
    </w:p>
    <w:p>
      <w:pPr>
        <w:spacing w:after="160" w:before="200" w:line="276" w:lineRule="auto"/>
      </w:pPr>
      <w:r>
        <w:rPr>
          <w:rFonts w:ascii="Calibri" w:hAnsi="Calibri" w:eastAsia="Calibri" w:cs="Arial"/>
          <w:b w:val="0"/>
          <w:i w:val="0"/>
          <w:color w:val="4A5772"/>
          <w:sz w:val="17"/>
        </w:rPr>
        <w:t>Document issued 17 October 2026. The forecast rests entirely on the founder's assumptions; it is not advice, an audit, or a guarantee of results or of funding.</w:t>
      </w:r>
    </w:p>
    <w:p>
      <w:pPr>
        <w:spacing w:after="120" w:before="0" w:line="276" w:lineRule="auto"/>
      </w:pPr>
      <w:r>
        <w:rPr>
          <w:rFonts w:ascii="Calibri" w:hAnsi="Calibri" w:eastAsia="Calibri" w:cs="Arial"/>
          <w:b w:val="0"/>
          <w:i w:val="0"/>
          <w:color w:val="7D879B"/>
          <w:sz w:val="15"/>
        </w:rPr>
        <w:t>Calculation model: ExcelBP (excelbp.com)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361" w:right="1247" w:bottom="1247" w:left="1247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Calibri" w:hAnsi="Calibri" w:eastAsia="Calibri" w:cs="Arial"/>
        <w:b w:val="0"/>
        <w:i w:val="0"/>
        <w:color w:val="7D879B"/>
        <w:sz w:val="16"/>
      </w:rPr>
      <w:t xml:space="preserve">Studio Lumen  |  Page </w:t>
    </w:r>
    <w:r>
      <w:rPr>
        <w:rFonts w:ascii="Calibri" w:hAnsi="Calibri"/>
        <w:color w:val="7D879B"/>
        <w:sz w:val="16"/>
      </w:rPr>
      <w:fldChar w:fldCharType="begin"/>
      <w:instrText xml:space="preserve">PAGE</w:instrText>
      <w:fldChar w:fldCharType="end"/>
    </w:r>
    <w:r>
      <w:rPr>
        <w:rFonts w:ascii="Calibri" w:hAnsi="Calibri" w:eastAsia="Calibri" w:cs="Arial"/>
        <w:b w:val="0"/>
        <w:i w:val="0"/>
        <w:color w:val="7D879B"/>
        <w:sz w:val="16"/>
      </w:rPr>
      <w:t xml:space="preserve"> / </w:t>
    </w:r>
    <w:r>
      <w:rPr>
        <w:rFonts w:ascii="Calibri" w:hAnsi="Calibri"/>
        <w:color w:val="7D879B"/>
        <w:sz w:val="16"/>
      </w:rP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Calibri" w:hAnsi="Calibri" w:eastAsia="Calibri" w:cs="Arial"/>
        <w:b/>
        <w:i w:val="0"/>
        <w:color w:val="4A5772"/>
        <w:sz w:val="16"/>
      </w:rPr>
      <w:t>Studio Lumen</w:t>
    </w:r>
    <w:r>
      <w:rPr>
        <w:rFonts w:ascii="Calibri" w:hAnsi="Calibri" w:eastAsia="Calibri" w:cs="Arial"/>
        <w:b w:val="0"/>
        <w:i w:val="0"/>
        <w:color w:val="7D879B"/>
        <w:sz w:val="16"/>
      </w:rPr>
      <w:t xml:space="preserve">  |  Business plan 2027–2029</w:t>
    </w:r>
    <w:r>
      <w:rPr>
        <w:rFonts w:ascii="Calibri" w:hAnsi="Calibri" w:eastAsia="Calibri" w:cs="Arial"/>
        <w:b w:val="0"/>
        <w:i w:val="0"/>
        <w:color w:val="7D879B"/>
        <w:sz w:val="16"/>
      </w:rPr>
      <w:t xml:space="preserve">  |  Fictional example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15233B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15233B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15233B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Studio Lumen – business plan 2027–2029</dc:title>
  <dc:subject/>
  <dc:creator>Jamie Carter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